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cs="Times New Roman"/>
          <w:sz w:val="44"/>
          <w:szCs w:val="44"/>
        </w:rPr>
      </w:pPr>
    </w:p>
    <w:p>
      <w:pPr>
        <w:ind w:firstLine="880"/>
        <w:jc w:val="center"/>
        <w:rPr>
          <w:rFonts w:cs="Times New Roman"/>
          <w:sz w:val="44"/>
          <w:szCs w:val="44"/>
        </w:rPr>
      </w:pPr>
    </w:p>
    <w:p>
      <w:pPr>
        <w:pStyle w:val="2"/>
        <w:ind w:firstLine="360"/>
      </w:pPr>
    </w:p>
    <w:p>
      <w:pPr>
        <w:ind w:firstLine="0" w:firstLineChars="0"/>
        <w:rPr>
          <w:rFonts w:eastAsia="黑体" w:cs="Times New Roman"/>
          <w:sz w:val="52"/>
          <w:szCs w:val="52"/>
        </w:rPr>
      </w:pPr>
    </w:p>
    <w:p>
      <w:pPr>
        <w:spacing w:line="360" w:lineRule="auto"/>
        <w:ind w:firstLine="0" w:firstLineChars="0"/>
        <w:jc w:val="center"/>
        <w:rPr>
          <w:rFonts w:eastAsia="黑体" w:cs="Times New Roman"/>
          <w:b/>
          <w:bCs/>
          <w:sz w:val="52"/>
          <w:szCs w:val="52"/>
        </w:rPr>
      </w:pPr>
      <w:r>
        <w:rPr>
          <w:rFonts w:hint="eastAsia" w:eastAsia="黑体" w:cs="Times New Roman"/>
          <w:b/>
          <w:bCs/>
          <w:sz w:val="52"/>
          <w:szCs w:val="52"/>
        </w:rPr>
        <w:t>三明</w:t>
      </w:r>
      <w:r>
        <w:rPr>
          <w:rFonts w:hint="eastAsia" w:eastAsia="黑体" w:cs="Times New Roman"/>
          <w:b/>
          <w:bCs/>
          <w:sz w:val="52"/>
          <w:szCs w:val="52"/>
          <w:lang w:eastAsia="zh-CN"/>
        </w:rPr>
        <w:t>经济开发区</w:t>
      </w:r>
      <w:r>
        <w:rPr>
          <w:rFonts w:hint="eastAsia" w:eastAsia="黑体" w:cs="Times New Roman"/>
          <w:b/>
          <w:bCs/>
          <w:sz w:val="52"/>
          <w:szCs w:val="52"/>
        </w:rPr>
        <w:t>吉口循环经济产业园</w:t>
      </w:r>
      <w:r>
        <w:rPr>
          <w:rFonts w:eastAsia="黑体" w:cs="Times New Roman"/>
          <w:b/>
          <w:bCs/>
          <w:sz w:val="52"/>
          <w:szCs w:val="52"/>
        </w:rPr>
        <w:t>土地征收成片开发方案</w:t>
      </w:r>
      <w:bookmarkStart w:id="201" w:name="_GoBack"/>
      <w:bookmarkEnd w:id="201"/>
    </w:p>
    <w:p>
      <w:pPr>
        <w:ind w:firstLine="0" w:firstLineChars="0"/>
        <w:jc w:val="center"/>
        <w:rPr>
          <w:rFonts w:eastAsia="黑体" w:cs="Times New Roman"/>
          <w:b/>
          <w:bCs/>
          <w:sz w:val="48"/>
          <w:szCs w:val="48"/>
        </w:rPr>
      </w:pPr>
    </w:p>
    <w:p>
      <w:pPr>
        <w:ind w:firstLine="0" w:firstLineChars="0"/>
        <w:jc w:val="center"/>
        <w:rPr>
          <w:rFonts w:eastAsia="黑体" w:cs="Times New Roman"/>
          <w:b/>
          <w:bCs/>
          <w:sz w:val="48"/>
          <w:szCs w:val="48"/>
        </w:rPr>
      </w:pPr>
    </w:p>
    <w:p>
      <w:pPr>
        <w:ind w:firstLine="0" w:firstLineChars="0"/>
        <w:jc w:val="center"/>
        <w:rPr>
          <w:rFonts w:cs="Times New Roman"/>
          <w:b/>
          <w:bCs/>
          <w:sz w:val="52"/>
          <w:szCs w:val="52"/>
        </w:rPr>
      </w:pPr>
    </w:p>
    <w:p>
      <w:pPr>
        <w:ind w:firstLine="0" w:firstLineChars="0"/>
        <w:rPr>
          <w:rFonts w:cs="Times New Roman"/>
          <w:b/>
          <w:bCs/>
          <w:sz w:val="52"/>
          <w:szCs w:val="52"/>
        </w:rPr>
      </w:pPr>
    </w:p>
    <w:p>
      <w:pPr>
        <w:ind w:firstLine="0" w:firstLineChars="0"/>
        <w:jc w:val="center"/>
        <w:rPr>
          <w:rFonts w:cs="Times New Roman"/>
          <w:b/>
          <w:bCs/>
          <w:sz w:val="52"/>
          <w:szCs w:val="52"/>
        </w:rPr>
      </w:pPr>
    </w:p>
    <w:p>
      <w:pPr>
        <w:ind w:firstLine="0" w:firstLineChars="0"/>
        <w:jc w:val="center"/>
        <w:rPr>
          <w:rFonts w:cs="Times New Roman"/>
          <w:b/>
          <w:bCs/>
          <w:sz w:val="52"/>
          <w:szCs w:val="52"/>
        </w:rPr>
      </w:pPr>
    </w:p>
    <w:p>
      <w:pPr>
        <w:ind w:firstLine="0" w:firstLineChars="0"/>
        <w:jc w:val="center"/>
        <w:rPr>
          <w:rFonts w:cs="Times New Roman"/>
          <w:b/>
          <w:bCs/>
          <w:sz w:val="52"/>
          <w:szCs w:val="52"/>
        </w:rPr>
      </w:pPr>
    </w:p>
    <w:p>
      <w:pPr>
        <w:ind w:firstLine="0" w:firstLineChars="0"/>
        <w:jc w:val="center"/>
        <w:rPr>
          <w:rFonts w:cs="Times New Roman"/>
          <w:b/>
          <w:bCs/>
          <w:sz w:val="52"/>
          <w:szCs w:val="52"/>
        </w:rPr>
      </w:pPr>
    </w:p>
    <w:p>
      <w:pPr>
        <w:ind w:firstLine="0" w:firstLineChars="0"/>
        <w:jc w:val="center"/>
        <w:rPr>
          <w:rFonts w:cs="Times New Roman"/>
          <w:b/>
          <w:bCs/>
          <w:sz w:val="52"/>
          <w:szCs w:val="52"/>
        </w:rPr>
      </w:pPr>
    </w:p>
    <w:p>
      <w:pPr>
        <w:ind w:firstLine="0" w:firstLineChars="0"/>
        <w:jc w:val="center"/>
        <w:rPr>
          <w:rFonts w:cs="Times New Roman"/>
          <w:sz w:val="32"/>
          <w:szCs w:val="32"/>
        </w:rPr>
      </w:pPr>
    </w:p>
    <w:p>
      <w:pPr>
        <w:ind w:firstLine="0" w:firstLineChars="0"/>
        <w:jc w:val="center"/>
        <w:rPr>
          <w:rFonts w:cs="Times New Roman"/>
          <w:sz w:val="32"/>
          <w:szCs w:val="32"/>
        </w:rPr>
      </w:pPr>
    </w:p>
    <w:p>
      <w:pPr>
        <w:ind w:firstLine="0" w:firstLineChars="0"/>
        <w:jc w:val="center"/>
        <w:rPr>
          <w:rFonts w:eastAsia="黑体" w:cs="Times New Roman"/>
          <w:sz w:val="36"/>
          <w:szCs w:val="36"/>
        </w:rPr>
      </w:pPr>
      <w:r>
        <w:rPr>
          <w:rFonts w:eastAsia="黑体" w:cs="Times New Roman"/>
          <w:sz w:val="36"/>
          <w:szCs w:val="36"/>
        </w:rPr>
        <w:t>三明市人民政府</w:t>
      </w:r>
    </w:p>
    <w:p>
      <w:pPr>
        <w:ind w:firstLine="0" w:firstLineChars="0"/>
        <w:jc w:val="center"/>
        <w:rPr>
          <w:rFonts w:eastAsia="黑体" w:cs="Times New Roman"/>
          <w:bCs/>
          <w:sz w:val="36"/>
          <w:szCs w:val="36"/>
        </w:rPr>
      </w:pPr>
      <w:r>
        <w:rPr>
          <w:rFonts w:hint="eastAsia" w:eastAsia="黑体" w:cs="Times New Roman"/>
          <w:bCs/>
          <w:sz w:val="36"/>
          <w:szCs w:val="36"/>
        </w:rPr>
        <w:t>202</w:t>
      </w:r>
      <w:r>
        <w:rPr>
          <w:rFonts w:hint="eastAsia" w:eastAsia="黑体" w:cs="Times New Roman"/>
          <w:bCs/>
          <w:sz w:val="36"/>
          <w:szCs w:val="36"/>
          <w:lang w:val="en-US" w:eastAsia="zh-CN"/>
        </w:rPr>
        <w:t>0</w:t>
      </w:r>
      <w:r>
        <w:rPr>
          <w:rFonts w:eastAsia="黑体" w:cs="Times New Roman"/>
          <w:bCs/>
          <w:sz w:val="36"/>
          <w:szCs w:val="36"/>
        </w:rPr>
        <w:t>年</w:t>
      </w:r>
      <w:r>
        <w:rPr>
          <w:rFonts w:hint="eastAsia" w:eastAsia="黑体" w:cs="Times New Roman"/>
          <w:bCs/>
          <w:sz w:val="36"/>
          <w:szCs w:val="36"/>
        </w:rPr>
        <w:t>1</w:t>
      </w:r>
      <w:r>
        <w:rPr>
          <w:rFonts w:hint="eastAsia" w:eastAsia="黑体" w:cs="Times New Roman"/>
          <w:bCs/>
          <w:sz w:val="36"/>
          <w:szCs w:val="36"/>
          <w:lang w:val="en-US" w:eastAsia="zh-CN"/>
        </w:rPr>
        <w:t>1</w:t>
      </w:r>
      <w:r>
        <w:rPr>
          <w:rFonts w:eastAsia="黑体" w:cs="Times New Roman"/>
          <w:bCs/>
          <w:sz w:val="36"/>
          <w:szCs w:val="36"/>
        </w:rPr>
        <w:t>月</w:t>
      </w:r>
    </w:p>
    <w:p>
      <w:pPr>
        <w:ind w:firstLine="640"/>
        <w:rPr>
          <w:sz w:val="32"/>
          <w:szCs w:val="32"/>
        </w:rPr>
      </w:pPr>
    </w:p>
    <w:p>
      <w:pPr>
        <w:ind w:firstLine="640"/>
        <w:rPr>
          <w:sz w:val="32"/>
          <w:szCs w:val="32"/>
        </w:rPr>
      </w:pPr>
    </w:p>
    <w:p>
      <w:pPr>
        <w:pStyle w:val="2"/>
        <w:ind w:firstLine="0" w:firstLineChars="0"/>
        <w:rPr>
          <w:sz w:val="32"/>
          <w:szCs w:val="32"/>
        </w:rPr>
      </w:pPr>
    </w:p>
    <w:p>
      <w:pPr>
        <w:pStyle w:val="2"/>
        <w:ind w:firstLine="360"/>
        <w:rPr>
          <w:sz w:val="32"/>
          <w:szCs w:val="32"/>
        </w:rPr>
      </w:pPr>
    </w:p>
    <w:p>
      <w:pPr>
        <w:pStyle w:val="2"/>
        <w:ind w:firstLine="360"/>
      </w:pPr>
    </w:p>
    <w:sdt>
      <w:sdtPr>
        <w:rPr>
          <w:rFonts w:eastAsia="黑体" w:cs="Times New Roman"/>
          <w:sz w:val="32"/>
          <w:szCs w:val="32"/>
        </w:rPr>
        <w:id w:val="147465284"/>
        <w:docPartObj>
          <w:docPartGallery w:val="Table of Contents"/>
          <w:docPartUnique/>
        </w:docPartObj>
      </w:sdtPr>
      <w:sdtEndPr>
        <w:rPr>
          <w:rFonts w:eastAsia="宋体" w:cs="Times New Roman"/>
          <w:b/>
          <w:sz w:val="32"/>
          <w:szCs w:val="32"/>
        </w:rPr>
      </w:sdtEndPr>
      <w:sdtContent>
        <w:p>
          <w:pPr>
            <w:keepNext w:val="0"/>
            <w:keepLines w:val="0"/>
            <w:pageBreakBefore/>
            <w:widowControl w:val="0"/>
            <w:kinsoku/>
            <w:wordWrap/>
            <w:overflowPunct/>
            <w:topLinePunct w:val="0"/>
            <w:autoSpaceDE/>
            <w:autoSpaceDN/>
            <w:bidi w:val="0"/>
            <w:adjustRightInd/>
            <w:snapToGrid/>
            <w:spacing w:line="240" w:lineRule="auto"/>
            <w:ind w:firstLine="0" w:firstLineChars="0"/>
            <w:jc w:val="center"/>
            <w:textAlignment w:val="auto"/>
            <w:rPr>
              <w:rFonts w:eastAsia="黑体" w:cs="Times New Roman"/>
              <w:sz w:val="32"/>
              <w:szCs w:val="32"/>
            </w:rPr>
          </w:pPr>
          <w:r>
            <w:rPr>
              <w:rFonts w:eastAsia="黑体" w:cs="Times New Roman"/>
              <w:sz w:val="32"/>
              <w:szCs w:val="32"/>
            </w:rPr>
            <w:t>目录</w:t>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rPr>
              <w:rFonts w:cs="Times New Roman"/>
            </w:rPr>
            <w:fldChar w:fldCharType="begin"/>
          </w:r>
          <w:r>
            <w:rPr>
              <w:rFonts w:cs="Times New Roman"/>
            </w:rPr>
            <w:instrText xml:space="preserve">TOC \o "1-2" \h \u </w:instrText>
          </w:r>
          <w:r>
            <w:rPr>
              <w:rFonts w:cs="Times New Roman"/>
            </w:rPr>
            <w:fldChar w:fldCharType="separate"/>
          </w:r>
          <w:r>
            <w:rPr>
              <w:rFonts w:cs="Times New Roman"/>
            </w:rPr>
            <w:fldChar w:fldCharType="begin"/>
          </w:r>
          <w:r>
            <w:rPr>
              <w:rFonts w:cs="Times New Roman"/>
            </w:rPr>
            <w:instrText xml:space="preserve"> HYPERLINK \l _Toc24530 </w:instrText>
          </w:r>
          <w:r>
            <w:rPr>
              <w:rFonts w:cs="Times New Roman"/>
            </w:rPr>
            <w:fldChar w:fldCharType="separate"/>
          </w:r>
          <w:r>
            <w:rPr>
              <w:rFonts w:hint="eastAsia"/>
            </w:rPr>
            <w:t>一、 概述</w:t>
          </w:r>
          <w:r>
            <w:tab/>
          </w:r>
          <w:r>
            <w:fldChar w:fldCharType="begin"/>
          </w:r>
          <w:r>
            <w:instrText xml:space="preserve"> PAGEREF _Toc24530 \h </w:instrText>
          </w:r>
          <w:r>
            <w:fldChar w:fldCharType="separate"/>
          </w:r>
          <w:r>
            <w:t>1</w:t>
          </w:r>
          <w:r>
            <w:fldChar w:fldCharType="end"/>
          </w:r>
          <w:r>
            <w:rPr>
              <w:rFonts w:cs="Times New Roma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_Toc5139 </w:instrText>
          </w:r>
          <w:r>
            <w:fldChar w:fldCharType="separate"/>
          </w:r>
          <w:r>
            <w:rPr>
              <w:rFonts w:hint="eastAsia"/>
            </w:rPr>
            <w:t>（一）编制背景</w:t>
          </w:r>
          <w:r>
            <w:tab/>
          </w:r>
          <w:r>
            <w:fldChar w:fldCharType="begin"/>
          </w:r>
          <w:r>
            <w:instrText xml:space="preserve"> PAGEREF _Toc5139 \h </w:instrText>
          </w:r>
          <w:r>
            <w:fldChar w:fldCharType="separate"/>
          </w:r>
          <w:r>
            <w:t>1</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_Toc25254 </w:instrText>
          </w:r>
          <w:r>
            <w:fldChar w:fldCharType="separate"/>
          </w:r>
          <w:r>
            <w:rPr>
              <w:rFonts w:hint="eastAsia"/>
            </w:rPr>
            <w:t>（二）编制原则</w:t>
          </w:r>
          <w:r>
            <w:tab/>
          </w:r>
          <w:r>
            <w:fldChar w:fldCharType="begin"/>
          </w:r>
          <w:r>
            <w:instrText xml:space="preserve"> PAGEREF _Toc25254 \h </w:instrText>
          </w:r>
          <w:r>
            <w:fldChar w:fldCharType="separate"/>
          </w:r>
          <w:r>
            <w:t>2</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_Toc30044 </w:instrText>
          </w:r>
          <w:r>
            <w:fldChar w:fldCharType="separate"/>
          </w:r>
          <w:r>
            <w:rPr>
              <w:rFonts w:hint="eastAsia"/>
            </w:rPr>
            <w:t>（三）编制依据</w:t>
          </w:r>
          <w:r>
            <w:tab/>
          </w:r>
          <w:r>
            <w:fldChar w:fldCharType="begin"/>
          </w:r>
          <w:r>
            <w:instrText xml:space="preserve"> PAGEREF _Toc30044 \h </w:instrText>
          </w:r>
          <w:r>
            <w:fldChar w:fldCharType="separate"/>
          </w:r>
          <w:r>
            <w:t>3</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_Toc16537 </w:instrText>
          </w:r>
          <w:r>
            <w:fldChar w:fldCharType="separate"/>
          </w:r>
          <w:r>
            <w:rPr>
              <w:rFonts w:hint="eastAsia"/>
            </w:rPr>
            <w:t>二、 编制条件</w:t>
          </w:r>
          <w:r>
            <w:tab/>
          </w:r>
          <w:r>
            <w:fldChar w:fldCharType="begin"/>
          </w:r>
          <w:r>
            <w:instrText xml:space="preserve"> PAGEREF _Toc16537 \h </w:instrText>
          </w:r>
          <w:r>
            <w:fldChar w:fldCharType="separate"/>
          </w:r>
          <w:r>
            <w:t>5</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_Toc6322 </w:instrText>
          </w:r>
          <w:r>
            <w:fldChar w:fldCharType="separate"/>
          </w:r>
          <w:r>
            <w:rPr>
              <w:rFonts w:cs="Times New Roman"/>
            </w:rPr>
            <w:t>（</w:t>
          </w:r>
          <w:r>
            <w:rPr>
              <w:rFonts w:hint="eastAsia" w:cs="Times New Roman"/>
            </w:rPr>
            <w:t>一</w:t>
          </w:r>
          <w:r>
            <w:rPr>
              <w:rFonts w:cs="Times New Roman"/>
            </w:rPr>
            <w:t>）批而未供土地和闲置土地情况</w:t>
          </w:r>
          <w:r>
            <w:tab/>
          </w:r>
          <w:r>
            <w:fldChar w:fldCharType="begin"/>
          </w:r>
          <w:r>
            <w:instrText xml:space="preserve"> PAGEREF _Toc6322 \h </w:instrText>
          </w:r>
          <w:r>
            <w:fldChar w:fldCharType="separate"/>
          </w:r>
          <w:r>
            <w:t>5</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_Toc22313 </w:instrText>
          </w:r>
          <w:r>
            <w:fldChar w:fldCharType="separate"/>
          </w:r>
          <w:r>
            <w:rPr>
              <w:rFonts w:hint="eastAsia" w:cs="Times New Roman"/>
            </w:rPr>
            <w:t>（二）开发区土地利用效率情况</w:t>
          </w:r>
          <w:r>
            <w:tab/>
          </w:r>
          <w:r>
            <w:fldChar w:fldCharType="begin"/>
          </w:r>
          <w:r>
            <w:instrText xml:space="preserve"> PAGEREF _Toc22313 \h </w:instrText>
          </w:r>
          <w:r>
            <w:fldChar w:fldCharType="separate"/>
          </w:r>
          <w:r>
            <w:t>5</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_Toc10991 </w:instrText>
          </w:r>
          <w:r>
            <w:fldChar w:fldCharType="separate"/>
          </w:r>
          <w:r>
            <w:rPr>
              <w:rFonts w:cs="Times New Roman"/>
            </w:rPr>
            <w:t>（</w:t>
          </w:r>
          <w:r>
            <w:rPr>
              <w:rFonts w:hint="eastAsia" w:cs="Times New Roman"/>
            </w:rPr>
            <w:t>三</w:t>
          </w:r>
          <w:r>
            <w:rPr>
              <w:rFonts w:cs="Times New Roman"/>
            </w:rPr>
            <w:t>）已批准土地征收成片开发方案实施情况</w:t>
          </w:r>
          <w:r>
            <w:tab/>
          </w:r>
          <w:r>
            <w:fldChar w:fldCharType="begin"/>
          </w:r>
          <w:r>
            <w:instrText xml:space="preserve"> PAGEREF _Toc10991 \h </w:instrText>
          </w:r>
          <w:r>
            <w:fldChar w:fldCharType="separate"/>
          </w:r>
          <w:r>
            <w:t>5</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_Toc6096 </w:instrText>
          </w:r>
          <w:r>
            <w:fldChar w:fldCharType="separate"/>
          </w:r>
          <w:r>
            <w:rPr>
              <w:rFonts w:hint="eastAsia"/>
            </w:rPr>
            <w:t xml:space="preserve">三、 </w:t>
          </w:r>
          <w:r>
            <w:t>基本情况</w:t>
          </w:r>
          <w:r>
            <w:tab/>
          </w:r>
          <w:r>
            <w:fldChar w:fldCharType="begin"/>
          </w:r>
          <w:r>
            <w:instrText xml:space="preserve"> PAGEREF _Toc6096 \h </w:instrText>
          </w:r>
          <w:r>
            <w:fldChar w:fldCharType="separate"/>
          </w:r>
          <w:r>
            <w:t>6</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_Toc6020 </w:instrText>
          </w:r>
          <w:r>
            <w:fldChar w:fldCharType="separate"/>
          </w:r>
          <w:r>
            <w:rPr>
              <w:rFonts w:cs="Times New Roman"/>
            </w:rPr>
            <w:t>（一）成片开发位置、面积、范围</w:t>
          </w:r>
          <w:r>
            <w:tab/>
          </w:r>
          <w:r>
            <w:fldChar w:fldCharType="begin"/>
          </w:r>
          <w:r>
            <w:instrText xml:space="preserve"> PAGEREF _Toc6020 \h </w:instrText>
          </w:r>
          <w:r>
            <w:fldChar w:fldCharType="separate"/>
          </w:r>
          <w:r>
            <w:t>6</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_Toc2192 </w:instrText>
          </w:r>
          <w:r>
            <w:fldChar w:fldCharType="separate"/>
          </w:r>
          <w:r>
            <w:rPr>
              <w:rFonts w:cs="Times New Roman"/>
            </w:rPr>
            <w:t>（</w:t>
          </w:r>
          <w:r>
            <w:rPr>
              <w:rFonts w:hint="eastAsia" w:cs="Times New Roman"/>
            </w:rPr>
            <w:t>二</w:t>
          </w:r>
          <w:r>
            <w:rPr>
              <w:rFonts w:cs="Times New Roman"/>
            </w:rPr>
            <w:t>）现状基础设施条件</w:t>
          </w:r>
          <w:r>
            <w:tab/>
          </w:r>
          <w:r>
            <w:fldChar w:fldCharType="begin"/>
          </w:r>
          <w:r>
            <w:instrText xml:space="preserve"> PAGEREF _Toc2192 \h </w:instrText>
          </w:r>
          <w:r>
            <w:fldChar w:fldCharType="separate"/>
          </w:r>
          <w:r>
            <w:t>7</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_Toc23388 </w:instrText>
          </w:r>
          <w:r>
            <w:fldChar w:fldCharType="separate"/>
          </w:r>
          <w:r>
            <w:rPr>
              <w:rFonts w:hint="eastAsia"/>
            </w:rPr>
            <w:t>（三）</w:t>
          </w:r>
          <w:r>
            <w:t>实施周期</w:t>
          </w:r>
          <w:r>
            <w:tab/>
          </w:r>
          <w:r>
            <w:fldChar w:fldCharType="begin"/>
          </w:r>
          <w:r>
            <w:instrText xml:space="preserve"> PAGEREF _Toc23388 \h </w:instrText>
          </w:r>
          <w:r>
            <w:fldChar w:fldCharType="separate"/>
          </w:r>
          <w:r>
            <w:t>8</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_Toc19931 </w:instrText>
          </w:r>
          <w:r>
            <w:fldChar w:fldCharType="separate"/>
          </w:r>
          <w:r>
            <w:rPr>
              <w:rFonts w:hint="eastAsia"/>
            </w:rPr>
            <w:t xml:space="preserve">四、 </w:t>
          </w:r>
          <w:r>
            <w:t>必要性</w:t>
          </w:r>
          <w:r>
            <w:rPr>
              <w:rFonts w:hint="eastAsia"/>
            </w:rPr>
            <w:t>分析</w:t>
          </w:r>
          <w:r>
            <w:tab/>
          </w:r>
          <w:r>
            <w:fldChar w:fldCharType="begin"/>
          </w:r>
          <w:r>
            <w:instrText xml:space="preserve"> PAGEREF _Toc19931 \h </w:instrText>
          </w:r>
          <w:r>
            <w:fldChar w:fldCharType="separate"/>
          </w:r>
          <w:r>
            <w:t>9</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_Toc24488 </w:instrText>
          </w:r>
          <w:r>
            <w:fldChar w:fldCharType="separate"/>
          </w:r>
          <w:r>
            <w:rPr>
              <w:rFonts w:cs="Times New Roman"/>
            </w:rPr>
            <w:t>（一）氟新材料产业重要性及发展趋势</w:t>
          </w:r>
          <w:r>
            <w:tab/>
          </w:r>
          <w:r>
            <w:fldChar w:fldCharType="begin"/>
          </w:r>
          <w:r>
            <w:instrText xml:space="preserve"> PAGEREF _Toc24488 \h </w:instrText>
          </w:r>
          <w:r>
            <w:fldChar w:fldCharType="separate"/>
          </w:r>
          <w:r>
            <w:t>9</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_Toc12433 </w:instrText>
          </w:r>
          <w:r>
            <w:fldChar w:fldCharType="separate"/>
          </w:r>
          <w:r>
            <w:rPr>
              <w:rFonts w:cs="Times New Roman"/>
            </w:rPr>
            <w:t>（二）氟新材料已成为福建省、三明市重点发展产业</w:t>
          </w:r>
          <w:r>
            <w:tab/>
          </w:r>
          <w:r>
            <w:fldChar w:fldCharType="begin"/>
          </w:r>
          <w:r>
            <w:instrText xml:space="preserve"> PAGEREF _Toc12433 \h </w:instrText>
          </w:r>
          <w:r>
            <w:fldChar w:fldCharType="separate"/>
          </w:r>
          <w:r>
            <w:t>10</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_Toc9302 </w:instrText>
          </w:r>
          <w:r>
            <w:fldChar w:fldCharType="separate"/>
          </w:r>
          <w:r>
            <w:rPr>
              <w:rFonts w:cs="Times New Roman"/>
            </w:rPr>
            <w:t>（三）三化退城入园及后续产业项目发展的需要</w:t>
          </w:r>
          <w:r>
            <w:tab/>
          </w:r>
          <w:r>
            <w:fldChar w:fldCharType="begin"/>
          </w:r>
          <w:r>
            <w:instrText xml:space="preserve"> PAGEREF _Toc9302 \h </w:instrText>
          </w:r>
          <w:r>
            <w:fldChar w:fldCharType="separate"/>
          </w:r>
          <w:r>
            <w:t>12</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_Toc26932 </w:instrText>
          </w:r>
          <w:r>
            <w:fldChar w:fldCharType="separate"/>
          </w:r>
          <w:r>
            <w:rPr>
              <w:rFonts w:cs="Times New Roman"/>
            </w:rPr>
            <w:t>（四）其他项目入驻的需要</w:t>
          </w:r>
          <w:r>
            <w:tab/>
          </w:r>
          <w:r>
            <w:fldChar w:fldCharType="begin"/>
          </w:r>
          <w:r>
            <w:instrText xml:space="preserve"> PAGEREF _Toc26932 \h </w:instrText>
          </w:r>
          <w:r>
            <w:fldChar w:fldCharType="separate"/>
          </w:r>
          <w:r>
            <w:t>12</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_Toc32517 </w:instrText>
          </w:r>
          <w:r>
            <w:fldChar w:fldCharType="separate"/>
          </w:r>
          <w:r>
            <w:rPr>
              <w:rFonts w:hint="eastAsia"/>
            </w:rPr>
            <w:t>五、 主要用途、实现功能及公益性用地比例</w:t>
          </w:r>
          <w:r>
            <w:tab/>
          </w:r>
          <w:r>
            <w:fldChar w:fldCharType="begin"/>
          </w:r>
          <w:r>
            <w:instrText xml:space="preserve"> PAGEREF _Toc32517 \h </w:instrText>
          </w:r>
          <w:r>
            <w:fldChar w:fldCharType="separate"/>
          </w:r>
          <w:r>
            <w:t>14</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_Toc388 </w:instrText>
          </w:r>
          <w:r>
            <w:fldChar w:fldCharType="separate"/>
          </w:r>
          <w:r>
            <w:rPr>
              <w:rFonts w:hint="eastAsia"/>
            </w:rPr>
            <w:t>六、 拟建项目及</w:t>
          </w:r>
          <w:r>
            <w:t>实施计划</w:t>
          </w:r>
          <w:r>
            <w:tab/>
          </w:r>
          <w:r>
            <w:fldChar w:fldCharType="begin"/>
          </w:r>
          <w:r>
            <w:instrText xml:space="preserve"> PAGEREF _Toc388 \h </w:instrText>
          </w:r>
          <w:r>
            <w:fldChar w:fldCharType="separate"/>
          </w:r>
          <w:r>
            <w:t>15</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_Toc6820 </w:instrText>
          </w:r>
          <w:r>
            <w:fldChar w:fldCharType="separate"/>
          </w:r>
          <w:r>
            <w:rPr>
              <w:rFonts w:hint="eastAsia"/>
            </w:rPr>
            <w:t xml:space="preserve">七、 </w:t>
          </w:r>
          <w:r>
            <w:t>合规性分析</w:t>
          </w:r>
          <w:r>
            <w:tab/>
          </w:r>
          <w:r>
            <w:fldChar w:fldCharType="begin"/>
          </w:r>
          <w:r>
            <w:instrText xml:space="preserve"> PAGEREF _Toc6820 \h </w:instrText>
          </w:r>
          <w:r>
            <w:fldChar w:fldCharType="separate"/>
          </w:r>
          <w:r>
            <w:t>16</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_Toc26649 </w:instrText>
          </w:r>
          <w:r>
            <w:fldChar w:fldCharType="separate"/>
          </w:r>
          <w:r>
            <w:rPr>
              <w:rFonts w:cs="Times New Roman"/>
            </w:rPr>
            <w:t>（一）</w:t>
          </w:r>
          <w:r>
            <w:rPr>
              <w:rFonts w:hint="eastAsia" w:cs="Times New Roman"/>
            </w:rPr>
            <w:t>国土空间规划</w:t>
          </w:r>
          <w:r>
            <w:tab/>
          </w:r>
          <w:r>
            <w:fldChar w:fldCharType="begin"/>
          </w:r>
          <w:r>
            <w:instrText xml:space="preserve"> PAGEREF _Toc26649 \h </w:instrText>
          </w:r>
          <w:r>
            <w:fldChar w:fldCharType="separate"/>
          </w:r>
          <w:r>
            <w:t>16</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_Toc1327 </w:instrText>
          </w:r>
          <w:r>
            <w:fldChar w:fldCharType="separate"/>
          </w:r>
          <w:r>
            <w:rPr>
              <w:rFonts w:hint="eastAsia" w:cs="Times New Roman"/>
            </w:rPr>
            <w:t>（二）</w:t>
          </w:r>
          <w:r>
            <w:rPr>
              <w:rFonts w:cs="Times New Roman"/>
            </w:rPr>
            <w:t>国民经济和社会发展规划、</w:t>
          </w:r>
          <w:r>
            <w:rPr>
              <w:rFonts w:hint="eastAsia" w:cs="Times New Roman"/>
            </w:rPr>
            <w:t>年度</w:t>
          </w:r>
          <w:r>
            <w:rPr>
              <w:rFonts w:cs="Times New Roman"/>
            </w:rPr>
            <w:t>计划</w:t>
          </w:r>
          <w:r>
            <w:tab/>
          </w:r>
          <w:r>
            <w:fldChar w:fldCharType="begin"/>
          </w:r>
          <w:r>
            <w:instrText xml:space="preserve"> PAGEREF _Toc1327 \h </w:instrText>
          </w:r>
          <w:r>
            <w:fldChar w:fldCharType="separate"/>
          </w:r>
          <w:r>
            <w:t>17</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_Toc28090 </w:instrText>
          </w:r>
          <w:r>
            <w:fldChar w:fldCharType="separate"/>
          </w:r>
          <w:r>
            <w:rPr>
              <w:rFonts w:cs="Times New Roman"/>
            </w:rPr>
            <w:t>（</w:t>
          </w:r>
          <w:r>
            <w:rPr>
              <w:rFonts w:hint="eastAsia" w:cs="Times New Roman"/>
            </w:rPr>
            <w:t>三</w:t>
          </w:r>
          <w:r>
            <w:rPr>
              <w:rFonts w:cs="Times New Roman"/>
            </w:rPr>
            <w:t>）</w:t>
          </w:r>
          <w:r>
            <w:rPr>
              <w:rFonts w:hint="eastAsia"/>
            </w:rPr>
            <w:t>占用永久基本农田和其他法律法规规定不允许占用或开发的各类需要</w:t>
          </w:r>
          <w:r>
            <w:rPr>
              <w:rFonts w:hint="eastAsia"/>
              <w:lang w:eastAsia="zh-CN"/>
            </w:rPr>
            <w:t>特殊</w:t>
          </w:r>
          <w:r>
            <w:rPr>
              <w:rFonts w:hint="eastAsia"/>
            </w:rPr>
            <w:t>保护的区域</w:t>
          </w:r>
          <w:r>
            <w:rPr>
              <w:rFonts w:hint="eastAsia" w:cs="Times New Roman"/>
            </w:rPr>
            <w:t>情况</w:t>
          </w:r>
          <w:r>
            <w:tab/>
          </w:r>
          <w:r>
            <w:fldChar w:fldCharType="begin"/>
          </w:r>
          <w:r>
            <w:instrText xml:space="preserve"> PAGEREF _Toc28090 \h </w:instrText>
          </w:r>
          <w:r>
            <w:fldChar w:fldCharType="separate"/>
          </w:r>
          <w:r>
            <w:t>17</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_Toc17441 </w:instrText>
          </w:r>
          <w:r>
            <w:fldChar w:fldCharType="separate"/>
          </w:r>
          <w:r>
            <w:rPr>
              <w:rFonts w:hint="eastAsia"/>
            </w:rPr>
            <w:t xml:space="preserve">八、 </w:t>
          </w:r>
          <w:r>
            <w:t>效益评估</w:t>
          </w:r>
          <w:r>
            <w:tab/>
          </w:r>
          <w:r>
            <w:fldChar w:fldCharType="begin"/>
          </w:r>
          <w:r>
            <w:instrText xml:space="preserve"> PAGEREF _Toc17441 \h </w:instrText>
          </w:r>
          <w:r>
            <w:fldChar w:fldCharType="separate"/>
          </w:r>
          <w:r>
            <w:t>19</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_Toc25218 </w:instrText>
          </w:r>
          <w:r>
            <w:fldChar w:fldCharType="separate"/>
          </w:r>
          <w:r>
            <w:rPr>
              <w:rFonts w:hint="eastAsia" w:cs="Times New Roman"/>
            </w:rPr>
            <w:t>（一）</w:t>
          </w:r>
          <w:r>
            <w:rPr>
              <w:rFonts w:cs="Times New Roman"/>
            </w:rPr>
            <w:t>土地利用效益</w:t>
          </w:r>
          <w:r>
            <w:tab/>
          </w:r>
          <w:r>
            <w:fldChar w:fldCharType="begin"/>
          </w:r>
          <w:r>
            <w:instrText xml:space="preserve"> PAGEREF _Toc25218 \h </w:instrText>
          </w:r>
          <w:r>
            <w:fldChar w:fldCharType="separate"/>
          </w:r>
          <w:r>
            <w:t>19</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_Toc28046 </w:instrText>
          </w:r>
          <w:r>
            <w:fldChar w:fldCharType="separate"/>
          </w:r>
          <w:r>
            <w:rPr>
              <w:rFonts w:hint="eastAsia" w:cs="Times New Roman"/>
            </w:rPr>
            <w:t>（二）</w:t>
          </w:r>
          <w:r>
            <w:rPr>
              <w:rFonts w:cs="Times New Roman"/>
            </w:rPr>
            <w:t>经济效益</w:t>
          </w:r>
          <w:r>
            <w:tab/>
          </w:r>
          <w:r>
            <w:fldChar w:fldCharType="begin"/>
          </w:r>
          <w:r>
            <w:instrText xml:space="preserve"> PAGEREF _Toc28046 \h </w:instrText>
          </w:r>
          <w:r>
            <w:fldChar w:fldCharType="separate"/>
          </w:r>
          <w:r>
            <w:t>19</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_Toc30992 </w:instrText>
          </w:r>
          <w:r>
            <w:fldChar w:fldCharType="separate"/>
          </w:r>
          <w:r>
            <w:rPr>
              <w:rFonts w:hint="eastAsia" w:cs="Times New Roman"/>
            </w:rPr>
            <w:t>（三）</w:t>
          </w:r>
          <w:r>
            <w:rPr>
              <w:rFonts w:cs="Times New Roman"/>
            </w:rPr>
            <w:t>社会效益</w:t>
          </w:r>
          <w:r>
            <w:tab/>
          </w:r>
          <w:r>
            <w:fldChar w:fldCharType="begin"/>
          </w:r>
          <w:r>
            <w:instrText xml:space="preserve"> PAGEREF _Toc30992 \h </w:instrText>
          </w:r>
          <w:r>
            <w:fldChar w:fldCharType="separate"/>
          </w:r>
          <w:r>
            <w:t>20</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_Toc29448 </w:instrText>
          </w:r>
          <w:r>
            <w:fldChar w:fldCharType="separate"/>
          </w:r>
          <w:r>
            <w:rPr>
              <w:rFonts w:hint="eastAsia" w:cs="Times New Roman"/>
            </w:rPr>
            <w:t>（四）</w:t>
          </w:r>
          <w:r>
            <w:rPr>
              <w:rFonts w:cs="Times New Roman"/>
            </w:rPr>
            <w:t>生态效益</w:t>
          </w:r>
          <w:r>
            <w:tab/>
          </w:r>
          <w:r>
            <w:fldChar w:fldCharType="begin"/>
          </w:r>
          <w:r>
            <w:instrText xml:space="preserve"> PAGEREF _Toc29448 \h </w:instrText>
          </w:r>
          <w:r>
            <w:fldChar w:fldCharType="separate"/>
          </w:r>
          <w:r>
            <w:t>21</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_Toc2134 </w:instrText>
          </w:r>
          <w:r>
            <w:fldChar w:fldCharType="separate"/>
          </w:r>
          <w:r>
            <w:rPr>
              <w:rFonts w:hint="eastAsia"/>
            </w:rPr>
            <w:t xml:space="preserve">九、 </w:t>
          </w:r>
          <w:r>
            <w:rPr>
              <w:rFonts w:hint="eastAsia"/>
              <w:szCs w:val="32"/>
            </w:rPr>
            <w:t>征求意见情况</w:t>
          </w:r>
          <w:r>
            <w:tab/>
          </w:r>
          <w:r>
            <w:fldChar w:fldCharType="begin"/>
          </w:r>
          <w:r>
            <w:instrText xml:space="preserve"> PAGEREF _Toc2134 \h </w:instrText>
          </w:r>
          <w:r>
            <w:fldChar w:fldCharType="separate"/>
          </w:r>
          <w:r>
            <w:t>23</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_Toc29885 </w:instrText>
          </w:r>
          <w:r>
            <w:fldChar w:fldCharType="separate"/>
          </w:r>
          <w:r>
            <w:rPr>
              <w:rFonts w:cs="Times New Roman"/>
            </w:rPr>
            <w:t>（</w:t>
          </w:r>
          <w:r>
            <w:rPr>
              <w:rFonts w:hint="eastAsia" w:cs="Times New Roman"/>
            </w:rPr>
            <w:t>一</w:t>
          </w:r>
          <w:r>
            <w:rPr>
              <w:rFonts w:cs="Times New Roman"/>
            </w:rPr>
            <w:t>）听取人大代表、政协委员、社会公众和有关专家学者意见</w:t>
          </w:r>
          <w:r>
            <w:tab/>
          </w:r>
          <w:r>
            <w:fldChar w:fldCharType="begin"/>
          </w:r>
          <w:r>
            <w:instrText xml:space="preserve"> PAGEREF _Toc29885 \h </w:instrText>
          </w:r>
          <w:r>
            <w:fldChar w:fldCharType="separate"/>
          </w:r>
          <w:r>
            <w:t>23</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_Toc18628 </w:instrText>
          </w:r>
          <w:r>
            <w:fldChar w:fldCharType="separate"/>
          </w:r>
          <w:r>
            <w:rPr>
              <w:rFonts w:cs="Times New Roman"/>
            </w:rPr>
            <w:t>（</w:t>
          </w:r>
          <w:r>
            <w:rPr>
              <w:rFonts w:hint="eastAsia" w:cs="Times New Roman"/>
              <w:lang w:eastAsia="zh-CN"/>
            </w:rPr>
            <w:t>二</w:t>
          </w:r>
          <w:r>
            <w:rPr>
              <w:rFonts w:cs="Times New Roman"/>
            </w:rPr>
            <w:t>）集体经济组织和农民的意见</w:t>
          </w:r>
          <w:r>
            <w:tab/>
          </w:r>
          <w:r>
            <w:fldChar w:fldCharType="begin"/>
          </w:r>
          <w:r>
            <w:instrText xml:space="preserve"> PAGEREF _Toc18628 \h </w:instrText>
          </w:r>
          <w:r>
            <w:fldChar w:fldCharType="separate"/>
          </w:r>
          <w:r>
            <w:t>23</w:t>
          </w:r>
          <w:r>
            <w:fldChar w:fldCharType="end"/>
          </w:r>
          <w: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_Toc26222 </w:instrText>
          </w:r>
          <w:r>
            <w:fldChar w:fldCharType="separate"/>
          </w:r>
          <w:r>
            <w:rPr>
              <w:rFonts w:cs="Times New Roman"/>
            </w:rPr>
            <w:t>（</w:t>
          </w:r>
          <w:r>
            <w:rPr>
              <w:rFonts w:hint="eastAsia" w:cs="Times New Roman"/>
              <w:lang w:eastAsia="zh-CN"/>
            </w:rPr>
            <w:t>三</w:t>
          </w:r>
          <w:r>
            <w:rPr>
              <w:rFonts w:cs="Times New Roman"/>
            </w:rPr>
            <w:t>）</w:t>
          </w:r>
          <w:r>
            <w:rPr>
              <w:rFonts w:hint="eastAsia" w:cs="Times New Roman"/>
            </w:rPr>
            <w:t>公告公示</w:t>
          </w:r>
          <w:r>
            <w:rPr>
              <w:rFonts w:cs="Times New Roman"/>
            </w:rPr>
            <w:t>情况</w:t>
          </w:r>
          <w:r>
            <w:tab/>
          </w:r>
          <w:r>
            <w:fldChar w:fldCharType="begin"/>
          </w:r>
          <w:r>
            <w:instrText xml:space="preserve"> PAGEREF _Toc26222 \h </w:instrText>
          </w:r>
          <w:r>
            <w:fldChar w:fldCharType="separate"/>
          </w:r>
          <w:r>
            <w:t>23</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_Toc20446 </w:instrText>
          </w:r>
          <w:r>
            <w:fldChar w:fldCharType="separate"/>
          </w:r>
          <w:r>
            <w:rPr>
              <w:rFonts w:hint="eastAsia"/>
            </w:rPr>
            <w:t xml:space="preserve">十、 </w:t>
          </w:r>
          <w:r>
            <w:t>结论</w:t>
          </w:r>
          <w:r>
            <w:tab/>
          </w:r>
          <w:r>
            <w:fldChar w:fldCharType="begin"/>
          </w:r>
          <w:r>
            <w:instrText xml:space="preserve"> PAGEREF _Toc20446 \h </w:instrText>
          </w:r>
          <w:r>
            <w:fldChar w:fldCharType="separate"/>
          </w:r>
          <w:r>
            <w:t>25</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pPr>
          <w:r>
            <w:fldChar w:fldCharType="begin"/>
          </w:r>
          <w:r>
            <w:instrText xml:space="preserve"> HYPERLINK \l _Toc23856 </w:instrText>
          </w:r>
          <w:r>
            <w:fldChar w:fldCharType="separate"/>
          </w:r>
          <w:r>
            <w:rPr>
              <w:rFonts w:hint="eastAsia"/>
            </w:rPr>
            <w:t xml:space="preserve">十一、 </w:t>
          </w:r>
          <w:r>
            <w:t>附件</w:t>
          </w:r>
          <w:r>
            <w:tab/>
          </w:r>
          <w:r>
            <w:fldChar w:fldCharType="begin"/>
          </w:r>
          <w:r>
            <w:instrText xml:space="preserve"> PAGEREF _Toc23856 \h </w:instrText>
          </w:r>
          <w:r>
            <w:fldChar w:fldCharType="separate"/>
          </w:r>
          <w:r>
            <w:t>26</w:t>
          </w:r>
          <w:r>
            <w:fldChar w:fldCharType="end"/>
          </w:r>
          <w: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ind w:firstLine="0" w:firstLineChars="0"/>
            <w:textAlignment w:val="auto"/>
          </w:pPr>
          <w:r>
            <w:fldChar w:fldCharType="end"/>
          </w:r>
        </w:p>
      </w:sdtContent>
    </w:sdt>
    <w:p>
      <w:pPr>
        <w:pStyle w:val="3"/>
        <w:numPr>
          <w:ilvl w:val="0"/>
          <w:numId w:val="4"/>
        </w:numPr>
        <w:spacing w:line="413" w:lineRule="auto"/>
        <w:ind w:firstLine="0" w:firstLineChars="0"/>
        <w:rPr>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bookmarkStart w:id="0" w:name="_Toc19319_WPSOffice_Level1"/>
    </w:p>
    <w:p>
      <w:pPr>
        <w:pStyle w:val="3"/>
        <w:ind w:firstLine="643"/>
      </w:pPr>
      <w:bookmarkStart w:id="1" w:name="_Toc24530"/>
      <w:bookmarkStart w:id="2" w:name="_Toc8251_WPSOffice_Level1"/>
      <w:bookmarkStart w:id="3" w:name="_Toc21406_WPSOffice_Level1"/>
      <w:r>
        <w:rPr>
          <w:rFonts w:hint="eastAsia"/>
        </w:rPr>
        <w:t>概述</w:t>
      </w:r>
      <w:bookmarkEnd w:id="1"/>
    </w:p>
    <w:p>
      <w:pPr>
        <w:pStyle w:val="4"/>
        <w:ind w:firstLine="602"/>
      </w:pPr>
      <w:bookmarkStart w:id="4" w:name="_Toc5139"/>
      <w:r>
        <w:rPr>
          <w:rFonts w:hint="eastAsia"/>
        </w:rPr>
        <w:t>（一）编制背景</w:t>
      </w:r>
      <w:bookmarkEnd w:id="4"/>
    </w:p>
    <w:p>
      <w:pPr>
        <w:ind w:firstLine="560"/>
      </w:pPr>
      <w:r>
        <w:rPr>
          <w:rFonts w:hint="eastAsia"/>
        </w:rPr>
        <w:t>2020年1月1日，新修订的《土地管理法》正式实施，其第四十五条规定“在土地利用总体规划确定的城镇建设用地范围内，经省级人民政府批准由县级以上地方人民政府组织实施的成片开发建设需要用地的，可以依法实施征收”，2020年11月5日，自然资源部印发了《土地征收成片开发标准(试行)》(以下简称《标准》)，明确了成片开发标准、流程、土地征收成片开发方案的内容等。福建省自然资源厅相应制定《福建省土地征收成片开发方案报批实施细则（试行）》和《福建省土地征收成片开发方案编制参考指南（试行）》，进一步明确细化了土地征收成片开发报批相关要求。上述政策的出台，通盘考虑了我国和我省时下经济社会发展需求，是贯彻落实新《土地管理法》、规范土地征收成片开发方案审查报批工作、保障经济和社会发展用地需要、维护被征收农村集体经济组织和农民的合法权益的需求。</w:t>
      </w:r>
    </w:p>
    <w:p>
      <w:pPr>
        <w:ind w:firstLine="560"/>
        <w:rPr>
          <w:rFonts w:cs="Times New Roman"/>
        </w:rPr>
      </w:pPr>
      <w:r>
        <w:rPr>
          <w:rFonts w:hint="eastAsia"/>
        </w:rPr>
        <w:t>三明吉口循环经济产业园位于三明市三元区土地利用总体规划允许建设区和三明市城市总体规划工业用地范围内，该园区是三明市根据全市战略性新兴产业发展规划设置的新兴产业聚集区，重点发展氟新材料产业。氟新材料产业是当下的“黄金产业”，其行业产品品种多，性能优异，应用领域广，被广泛运用于军工、化工、机械等领域，已经成为</w:t>
      </w:r>
      <w:r>
        <w:rPr>
          <w:rFonts w:cs="Times New Roman"/>
        </w:rPr>
        <w:t>基础化学工业中</w:t>
      </w:r>
      <w:r>
        <w:rPr>
          <w:rFonts w:hint="eastAsia" w:cs="Times New Roman"/>
        </w:rPr>
        <w:t>发展最快、</w:t>
      </w:r>
      <w:r>
        <w:rPr>
          <w:rFonts w:cs="Times New Roman"/>
        </w:rPr>
        <w:t>最具</w:t>
      </w:r>
      <w:r>
        <w:rPr>
          <w:rFonts w:hint="eastAsia" w:cs="Times New Roman"/>
        </w:rPr>
        <w:t>高新技术</w:t>
      </w:r>
      <w:r>
        <w:rPr>
          <w:rFonts w:cs="Times New Roman"/>
        </w:rPr>
        <w:t>和</w:t>
      </w:r>
      <w:r>
        <w:rPr>
          <w:rFonts w:hint="eastAsia" w:cs="Times New Roman"/>
        </w:rPr>
        <w:t>最有前景</w:t>
      </w:r>
      <w:r>
        <w:rPr>
          <w:rFonts w:cs="Times New Roman"/>
        </w:rPr>
        <w:t>的</w:t>
      </w:r>
      <w:r>
        <w:rPr>
          <w:rFonts w:hint="eastAsia" w:cs="Times New Roman"/>
        </w:rPr>
        <w:t>产业之一，</w:t>
      </w:r>
      <w:r>
        <w:rPr>
          <w:rFonts w:cs="Times New Roman"/>
        </w:rPr>
        <w:t>国内对其的需求增长率年均超过1</w:t>
      </w:r>
      <w:r>
        <w:rPr>
          <w:rFonts w:hint="eastAsia" w:cs="Times New Roman"/>
        </w:rPr>
        <w:t>5</w:t>
      </w:r>
      <w:r>
        <w:rPr>
          <w:rFonts w:cs="Times New Roman"/>
        </w:rPr>
        <w:t>%</w:t>
      </w:r>
      <w:r>
        <w:rPr>
          <w:rFonts w:hint="eastAsia" w:cs="Times New Roman"/>
        </w:rPr>
        <w:t>。</w:t>
      </w:r>
      <w:r>
        <w:rPr>
          <w:rFonts w:hint="eastAsia"/>
        </w:rPr>
        <w:t>三明吉口循环经济产业园</w:t>
      </w:r>
      <w:r>
        <w:rPr>
          <w:rFonts w:hint="eastAsia" w:cs="Times New Roman"/>
        </w:rPr>
        <w:t>按照布局集中、产业聚集、用地集约、特色鲜明、规模适度、配套完善等要求规划建设，</w:t>
      </w:r>
      <w:r>
        <w:rPr>
          <w:rFonts w:hint="eastAsia"/>
        </w:rPr>
        <w:t>是三明氟新材料产业发展4个重点园区之一，担负着推动全市氟新材料产业发展的历史使命。</w:t>
      </w:r>
    </w:p>
    <w:p>
      <w:pPr>
        <w:ind w:firstLine="560"/>
      </w:pPr>
      <w:r>
        <w:rPr>
          <w:rFonts w:hint="eastAsia"/>
        </w:rPr>
        <w:t>因此，为加快三明吉口循环经济产业园地块开发，三明市人民政府组织编制《三明市三元区2021年度第一批次土地征收成片开发方案（三明吉口循环经济产业园）》，该方案</w:t>
      </w:r>
      <w:r>
        <w:t>成片开发范围总面积</w:t>
      </w:r>
      <w:r>
        <w:rPr>
          <w:rFonts w:hint="eastAsia"/>
        </w:rPr>
        <w:t>149.0845</w:t>
      </w:r>
      <w:r>
        <w:t>公顷，</w:t>
      </w:r>
      <w:r>
        <w:rPr>
          <w:rFonts w:hint="eastAsia"/>
        </w:rPr>
        <w:t>该地块的开发可以解决三明市氟新材料产业发展空间不足的问题，对三明市氟新材料产业的强链、补链和产业整体提升意义重大，对推进三明市区经济社会发展、丰富“三明实践”内容意义重大。</w:t>
      </w:r>
    </w:p>
    <w:p>
      <w:pPr>
        <w:pStyle w:val="4"/>
        <w:ind w:firstLine="602"/>
      </w:pPr>
      <w:bookmarkStart w:id="5" w:name="_Toc25254"/>
      <w:r>
        <w:rPr>
          <w:rFonts w:hint="eastAsia"/>
        </w:rPr>
        <w:t>（二）编制原则</w:t>
      </w:r>
      <w:bookmarkEnd w:id="5"/>
    </w:p>
    <w:p>
      <w:pPr>
        <w:pStyle w:val="5"/>
        <w:ind w:firstLine="562"/>
      </w:pPr>
      <w:r>
        <w:rPr>
          <w:rFonts w:hint="eastAsia"/>
        </w:rPr>
        <w:t>1.遵守法律法规、维护公共利益原则</w:t>
      </w:r>
    </w:p>
    <w:p>
      <w:pPr>
        <w:ind w:firstLine="560"/>
      </w:pPr>
      <w:r>
        <w:rPr>
          <w:rFonts w:hint="eastAsia"/>
        </w:rPr>
        <w:t>土地征收成片开发遵循相关法律、法规和规程的规定，符合国民经济和社会发展规划、国土空间规划，纳入当地国民经济和社会发展年度计划，并符合国家产业政策和供地政策。</w:t>
      </w:r>
    </w:p>
    <w:p>
      <w:pPr>
        <w:ind w:firstLine="560"/>
      </w:pPr>
      <w:r>
        <w:rPr>
          <w:rFonts w:hint="eastAsia"/>
        </w:rPr>
        <w:t>方案以人民为中心，为公共利益的需要，提高成片开发范围内基础设施、公共服务设施以及其他公益性用地的比例，兼顾群众的现实和长远利益，维护群众合法权益，充分征求成片开发区域内农村集体经济组织和农民的意见。</w:t>
      </w:r>
    </w:p>
    <w:p>
      <w:pPr>
        <w:pStyle w:val="5"/>
        <w:ind w:firstLine="562"/>
      </w:pPr>
      <w:r>
        <w:rPr>
          <w:rFonts w:hint="eastAsia"/>
        </w:rPr>
        <w:t>2.科学合理编制、确保开发必要原则</w:t>
      </w:r>
    </w:p>
    <w:p>
      <w:pPr>
        <w:ind w:firstLine="560"/>
      </w:pPr>
      <w:r>
        <w:rPr>
          <w:rFonts w:hint="eastAsia"/>
        </w:rPr>
        <w:t>土地征收成片开发坚持新发展理念，立足城市的长远发展，根据土地经济规律、社会经济发展和市场需求，确保开发的必要性。因地制宜，有针对性地开展编制工作，着重解决实际问题。</w:t>
      </w:r>
    </w:p>
    <w:p>
      <w:pPr>
        <w:pStyle w:val="5"/>
        <w:ind w:firstLine="562"/>
      </w:pPr>
      <w:r>
        <w:rPr>
          <w:rFonts w:hint="eastAsia"/>
        </w:rPr>
        <w:t>3.严格保护耕地、节约集约用地原则</w:t>
      </w:r>
    </w:p>
    <w:p>
      <w:pPr>
        <w:ind w:firstLine="560"/>
      </w:pPr>
      <w:r>
        <w:rPr>
          <w:rFonts w:hint="eastAsia"/>
        </w:rPr>
        <w:t>土地征收成片开发落实严格的耕地保护制度，尽量避让优质耕地。根据经济社会发展状况、实际用地需求、土地利用相关政策等确定成片开发范围，科学合理规划布局，优化资源配置，节约集约利用土地，提高土地利用效率。</w:t>
      </w:r>
    </w:p>
    <w:p>
      <w:pPr>
        <w:pStyle w:val="4"/>
        <w:ind w:firstLine="602"/>
      </w:pPr>
      <w:bookmarkStart w:id="6" w:name="_Toc30044"/>
      <w:r>
        <w:rPr>
          <w:rFonts w:hint="eastAsia"/>
        </w:rPr>
        <w:t>（三）编制依据</w:t>
      </w:r>
      <w:bookmarkEnd w:id="6"/>
      <w:r>
        <w:rPr>
          <w:rFonts w:hint="eastAsia"/>
        </w:rPr>
        <w:t xml:space="preserve"> </w:t>
      </w:r>
    </w:p>
    <w:p>
      <w:pPr>
        <w:ind w:firstLine="560"/>
        <w:rPr>
          <w:rFonts w:cs="Times New Roman"/>
          <w:szCs w:val="28"/>
        </w:rPr>
      </w:pPr>
      <w:r>
        <w:rPr>
          <w:rFonts w:hint="eastAsia" w:cs="Times New Roman"/>
          <w:szCs w:val="28"/>
          <w:lang w:val="en-US" w:eastAsia="zh-CN"/>
        </w:rPr>
        <w:t>1</w:t>
      </w:r>
      <w:r>
        <w:rPr>
          <w:rFonts w:cs="Times New Roman"/>
          <w:szCs w:val="28"/>
        </w:rPr>
        <w:t>.《自然资源部关于印发</w:t>
      </w:r>
      <w:r>
        <w:rPr>
          <w:rFonts w:hint="eastAsia" w:ascii="仿宋_GB2312" w:cs="仿宋_GB2312"/>
          <w:kern w:val="0"/>
          <w:szCs w:val="28"/>
        </w:rPr>
        <w:t>〈</w:t>
      </w:r>
      <w:r>
        <w:rPr>
          <w:rFonts w:cs="Times New Roman"/>
          <w:szCs w:val="28"/>
        </w:rPr>
        <w:t>土地征收成片开发标准（试行）</w:t>
      </w:r>
      <w:r>
        <w:rPr>
          <w:rFonts w:hint="eastAsia" w:ascii="仿宋_GB2312" w:cs="仿宋_GB2312"/>
          <w:kern w:val="0"/>
          <w:szCs w:val="28"/>
        </w:rPr>
        <w:t>〉</w:t>
      </w:r>
      <w:r>
        <w:rPr>
          <w:rFonts w:cs="Times New Roman"/>
          <w:szCs w:val="28"/>
        </w:rPr>
        <w:t>的通知》</w:t>
      </w:r>
      <w:r>
        <w:rPr>
          <w:rFonts w:hint="eastAsia" w:cs="Times New Roman"/>
          <w:szCs w:val="28"/>
        </w:rPr>
        <w:t>（</w:t>
      </w:r>
      <w:r>
        <w:rPr>
          <w:rFonts w:cs="Times New Roman"/>
          <w:szCs w:val="28"/>
        </w:rPr>
        <w:t>自然资规〔2020〕5号</w:t>
      </w:r>
      <w:r>
        <w:rPr>
          <w:rFonts w:hint="eastAsia" w:cs="Times New Roman"/>
          <w:szCs w:val="28"/>
        </w:rPr>
        <w:t>）</w:t>
      </w:r>
      <w:r>
        <w:rPr>
          <w:rFonts w:cs="Times New Roman"/>
          <w:szCs w:val="28"/>
        </w:rPr>
        <w:t>；</w:t>
      </w:r>
    </w:p>
    <w:p>
      <w:pPr>
        <w:ind w:firstLine="560"/>
      </w:pPr>
      <w:r>
        <w:rPr>
          <w:rFonts w:hint="eastAsia"/>
          <w:lang w:val="en-US" w:eastAsia="zh-CN"/>
        </w:rPr>
        <w:t>2</w:t>
      </w:r>
      <w:r>
        <w:t>.《</w:t>
      </w:r>
      <w:r>
        <w:rPr>
          <w:rFonts w:hint="eastAsia"/>
        </w:rPr>
        <w:t>福建省自然资源厅关于印发</w:t>
      </w:r>
      <w:r>
        <w:rPr>
          <w:rFonts w:hint="eastAsia" w:ascii="仿宋_GB2312" w:cs="仿宋_GB2312"/>
          <w:kern w:val="0"/>
          <w:szCs w:val="28"/>
        </w:rPr>
        <w:t>〈</w:t>
      </w:r>
      <w:r>
        <w:rPr>
          <w:rFonts w:hint="eastAsia"/>
        </w:rPr>
        <w:t>福建省土地征收成片开发方案报批实施细则（试行）</w:t>
      </w:r>
      <w:r>
        <w:rPr>
          <w:rFonts w:hint="eastAsia" w:ascii="仿宋_GB2312" w:cs="仿宋_GB2312"/>
          <w:kern w:val="0"/>
          <w:szCs w:val="28"/>
        </w:rPr>
        <w:t>〉</w:t>
      </w:r>
      <w:r>
        <w:rPr>
          <w:rFonts w:hint="eastAsia"/>
        </w:rPr>
        <w:t>的通知</w:t>
      </w:r>
      <w:r>
        <w:t>》（</w:t>
      </w:r>
      <w:r>
        <w:rPr>
          <w:rFonts w:hint="eastAsia"/>
        </w:rPr>
        <w:t>闽自然资发</w:t>
      </w:r>
      <w:r>
        <w:t>〔2021〕</w:t>
      </w:r>
      <w:r>
        <w:rPr>
          <w:rFonts w:hint="eastAsia"/>
        </w:rPr>
        <w:t>3</w:t>
      </w:r>
      <w:r>
        <w:t>号）；</w:t>
      </w:r>
    </w:p>
    <w:p>
      <w:pPr>
        <w:ind w:firstLine="560"/>
      </w:pPr>
      <w:r>
        <w:rPr>
          <w:rFonts w:hint="eastAsia"/>
          <w:lang w:val="en-US" w:eastAsia="zh-CN"/>
        </w:rPr>
        <w:t>3</w:t>
      </w:r>
      <w:r>
        <w:rPr>
          <w:rFonts w:hint="eastAsia"/>
        </w:rPr>
        <w:t>.</w:t>
      </w:r>
      <w:r>
        <w:t>《福建省自然资源厅关于印发〈福建省土地征收成片开发方案编制参考指南（试行）〉的通知》（</w:t>
      </w:r>
      <w:r>
        <w:rPr>
          <w:rFonts w:hint="eastAsia"/>
        </w:rPr>
        <w:t>闽自然资发</w:t>
      </w:r>
      <w:r>
        <w:t>〔2021〕</w:t>
      </w:r>
      <w:r>
        <w:rPr>
          <w:rFonts w:hint="eastAsia"/>
        </w:rPr>
        <w:t>6</w:t>
      </w:r>
      <w:r>
        <w:t>号）；</w:t>
      </w:r>
    </w:p>
    <w:p>
      <w:pPr>
        <w:ind w:firstLine="560"/>
      </w:pPr>
      <w:r>
        <w:rPr>
          <w:rFonts w:hint="eastAsia"/>
          <w:lang w:val="en-US" w:eastAsia="zh-CN"/>
        </w:rPr>
        <w:t>4</w:t>
      </w:r>
      <w:r>
        <w:rPr>
          <w:rFonts w:hint="eastAsia"/>
        </w:rPr>
        <w:t>.</w:t>
      </w:r>
      <w:r>
        <w:rPr>
          <w:rFonts w:hint="eastAsia" w:cs="Times New Roman"/>
          <w:szCs w:val="28"/>
          <w:shd w:val="clear" w:color="auto" w:fill="FFFFFF"/>
        </w:rPr>
        <w:t>《自然资源部办公厅关于印发〈国土空间调查、规划、用途管制用地用海分类指南（试行）〉》（自然资办发〔2020〕51号）；</w:t>
      </w:r>
    </w:p>
    <w:p>
      <w:pPr>
        <w:ind w:firstLine="560"/>
        <w:rPr>
          <w:rFonts w:cs="Times New Roman"/>
          <w:szCs w:val="28"/>
        </w:rPr>
      </w:pPr>
      <w:r>
        <w:rPr>
          <w:rFonts w:hint="eastAsia" w:cs="Times New Roman"/>
          <w:szCs w:val="28"/>
          <w:lang w:val="en-US" w:eastAsia="zh-CN"/>
        </w:rPr>
        <w:t>5</w:t>
      </w:r>
      <w:r>
        <w:rPr>
          <w:rFonts w:cs="Times New Roman"/>
          <w:szCs w:val="28"/>
        </w:rPr>
        <w:t>.《</w:t>
      </w:r>
      <w:r>
        <w:rPr>
          <w:rFonts w:hint="eastAsia" w:cs="Times New Roman"/>
          <w:szCs w:val="28"/>
        </w:rPr>
        <w:t>三元区</w:t>
      </w:r>
      <w:r>
        <w:rPr>
          <w:rFonts w:cs="Times New Roman"/>
          <w:szCs w:val="28"/>
        </w:rPr>
        <w:t>土地利用总体规划（2006-2020）</w:t>
      </w:r>
      <w:r>
        <w:rPr>
          <w:rFonts w:hint="eastAsia" w:cs="Times New Roman"/>
          <w:szCs w:val="28"/>
        </w:rPr>
        <w:t>调整方案</w:t>
      </w:r>
      <w:r>
        <w:rPr>
          <w:rFonts w:cs="Times New Roman"/>
          <w:szCs w:val="28"/>
        </w:rPr>
        <w:t>》</w:t>
      </w:r>
      <w:r>
        <w:rPr>
          <w:rFonts w:hint="eastAsia" w:cs="Times New Roman"/>
          <w:szCs w:val="28"/>
        </w:rPr>
        <w:t>（2017年11月）</w:t>
      </w:r>
      <w:r>
        <w:rPr>
          <w:rFonts w:cs="Times New Roman"/>
          <w:szCs w:val="28"/>
        </w:rPr>
        <w:t>；</w:t>
      </w:r>
    </w:p>
    <w:p>
      <w:pPr>
        <w:ind w:firstLine="560"/>
        <w:rPr>
          <w:rFonts w:cs="Times New Roman"/>
          <w:szCs w:val="28"/>
        </w:rPr>
      </w:pPr>
      <w:r>
        <w:rPr>
          <w:rFonts w:hint="eastAsia" w:cs="Times New Roman"/>
          <w:szCs w:val="28"/>
          <w:lang w:val="en-US" w:eastAsia="zh-CN"/>
        </w:rPr>
        <w:t>6</w:t>
      </w:r>
      <w:r>
        <w:rPr>
          <w:rFonts w:cs="Times New Roman"/>
          <w:szCs w:val="28"/>
        </w:rPr>
        <w:t>.《三明市城市总体规划（2010-2030年）》；</w:t>
      </w:r>
    </w:p>
    <w:p>
      <w:pPr>
        <w:ind w:firstLine="560"/>
        <w:rPr>
          <w:rFonts w:cs="Times New Roman"/>
          <w:szCs w:val="28"/>
        </w:rPr>
      </w:pPr>
      <w:r>
        <w:rPr>
          <w:rFonts w:hint="eastAsia" w:cs="Times New Roman"/>
          <w:szCs w:val="28"/>
          <w:lang w:val="en-US" w:eastAsia="zh-CN"/>
        </w:rPr>
        <w:t>7</w:t>
      </w:r>
      <w:r>
        <w:rPr>
          <w:rFonts w:cs="Times New Roman"/>
          <w:szCs w:val="28"/>
        </w:rPr>
        <w:t>.《三明市国民经济和社会发展第十三个五年规划纲要》</w:t>
      </w:r>
      <w:r>
        <w:rPr>
          <w:rFonts w:cs="Times New Roman"/>
          <w:snapToGrid w:val="0"/>
          <w:szCs w:val="28"/>
        </w:rPr>
        <w:t>（2016～2020年）</w:t>
      </w:r>
      <w:r>
        <w:rPr>
          <w:rFonts w:cs="Times New Roman"/>
          <w:szCs w:val="28"/>
        </w:rPr>
        <w:t>；</w:t>
      </w:r>
    </w:p>
    <w:p>
      <w:pPr>
        <w:ind w:firstLine="560"/>
        <w:rPr>
          <w:rFonts w:cs="Times New Roman"/>
          <w:szCs w:val="28"/>
        </w:rPr>
      </w:pPr>
      <w:r>
        <w:rPr>
          <w:rFonts w:hint="eastAsia" w:cs="Times New Roman"/>
          <w:szCs w:val="28"/>
          <w:lang w:val="en-US" w:eastAsia="zh-CN"/>
        </w:rPr>
        <w:t>8</w:t>
      </w:r>
      <w:r>
        <w:rPr>
          <w:rFonts w:cs="Times New Roman"/>
          <w:szCs w:val="28"/>
        </w:rPr>
        <w:t>.《三元区国民经济和社会发展第十三个五年规划纲要》</w:t>
      </w:r>
      <w:r>
        <w:rPr>
          <w:rFonts w:cs="Times New Roman"/>
          <w:snapToGrid w:val="0"/>
          <w:szCs w:val="28"/>
        </w:rPr>
        <w:t>（2016～2020年）</w:t>
      </w:r>
      <w:r>
        <w:rPr>
          <w:rFonts w:cs="Times New Roman"/>
          <w:szCs w:val="28"/>
        </w:rPr>
        <w:t>；</w:t>
      </w:r>
    </w:p>
    <w:p>
      <w:pPr>
        <w:ind w:firstLine="560"/>
        <w:rPr>
          <w:rFonts w:cs="Times New Roman"/>
          <w:szCs w:val="28"/>
        </w:rPr>
      </w:pPr>
      <w:r>
        <w:rPr>
          <w:rFonts w:hint="eastAsia" w:cs="Times New Roman"/>
          <w:szCs w:val="28"/>
          <w:lang w:val="en-US" w:eastAsia="zh-CN"/>
        </w:rPr>
        <w:t>9</w:t>
      </w:r>
      <w:r>
        <w:rPr>
          <w:rFonts w:cs="Times New Roman"/>
          <w:szCs w:val="28"/>
        </w:rPr>
        <w:t>.《关于</w:t>
      </w:r>
      <w:r>
        <w:rPr>
          <w:rFonts w:hint="eastAsia" w:cs="Times New Roman"/>
          <w:szCs w:val="28"/>
        </w:rPr>
        <w:t>三明市</w:t>
      </w:r>
      <w:r>
        <w:rPr>
          <w:rFonts w:cs="Times New Roman"/>
          <w:szCs w:val="28"/>
        </w:rPr>
        <w:t>20</w:t>
      </w:r>
      <w:r>
        <w:rPr>
          <w:rFonts w:hint="eastAsia" w:cs="Times New Roman"/>
          <w:szCs w:val="28"/>
        </w:rPr>
        <w:t>20</w:t>
      </w:r>
      <w:r>
        <w:rPr>
          <w:rFonts w:cs="Times New Roman"/>
          <w:szCs w:val="28"/>
        </w:rPr>
        <w:t>年国民经济和社会发展计划执行情况与202</w:t>
      </w:r>
      <w:r>
        <w:rPr>
          <w:rFonts w:hint="eastAsia" w:cs="Times New Roman"/>
          <w:szCs w:val="28"/>
        </w:rPr>
        <w:t>1</w:t>
      </w:r>
      <w:r>
        <w:rPr>
          <w:rFonts w:cs="Times New Roman"/>
          <w:szCs w:val="28"/>
        </w:rPr>
        <w:t>年国民经济和社会发展计划草案的报告》；</w:t>
      </w:r>
    </w:p>
    <w:p>
      <w:pPr>
        <w:ind w:firstLine="560"/>
        <w:rPr>
          <w:rFonts w:cs="Times New Roman"/>
          <w:szCs w:val="28"/>
        </w:rPr>
      </w:pPr>
      <w:r>
        <w:rPr>
          <w:rFonts w:hint="eastAsia" w:cs="Times New Roman"/>
          <w:szCs w:val="28"/>
        </w:rPr>
        <w:t>1</w:t>
      </w:r>
      <w:r>
        <w:rPr>
          <w:rFonts w:hint="eastAsia" w:cs="Times New Roman"/>
          <w:szCs w:val="28"/>
          <w:lang w:val="en-US" w:eastAsia="zh-CN"/>
        </w:rPr>
        <w:t>0</w:t>
      </w:r>
      <w:r>
        <w:rPr>
          <w:rFonts w:cs="Times New Roman"/>
          <w:szCs w:val="28"/>
        </w:rPr>
        <w:t>.《三明经济开发区（吉口园）产业发展规划（2014-2030）》；</w:t>
      </w:r>
    </w:p>
    <w:p>
      <w:pPr>
        <w:ind w:firstLine="560"/>
        <w:rPr>
          <w:rFonts w:cs="Times New Roman"/>
          <w:szCs w:val="28"/>
        </w:rPr>
      </w:pPr>
      <w:r>
        <w:rPr>
          <w:rFonts w:cs="Times New Roman"/>
          <w:szCs w:val="28"/>
        </w:rPr>
        <w:t>1</w:t>
      </w:r>
      <w:r>
        <w:rPr>
          <w:rFonts w:hint="eastAsia" w:cs="Times New Roman"/>
          <w:szCs w:val="28"/>
          <w:lang w:val="en-US" w:eastAsia="zh-CN"/>
        </w:rPr>
        <w:t>1</w:t>
      </w:r>
      <w:r>
        <w:rPr>
          <w:rFonts w:cs="Times New Roman"/>
          <w:szCs w:val="28"/>
        </w:rPr>
        <w:t>.《三明台商投资区吉口新兴产业园总体规划（2013-2030）》；</w:t>
      </w:r>
    </w:p>
    <w:p>
      <w:pPr>
        <w:ind w:firstLine="560"/>
        <w:rPr>
          <w:rFonts w:cs="Times New Roman"/>
          <w:szCs w:val="28"/>
        </w:rPr>
      </w:pPr>
      <w:r>
        <w:rPr>
          <w:rFonts w:cs="Times New Roman"/>
          <w:szCs w:val="28"/>
        </w:rPr>
        <w:t>1</w:t>
      </w:r>
      <w:r>
        <w:rPr>
          <w:rFonts w:hint="eastAsia" w:cs="Times New Roman"/>
          <w:szCs w:val="28"/>
          <w:lang w:val="en-US" w:eastAsia="zh-CN"/>
        </w:rPr>
        <w:t>2</w:t>
      </w:r>
      <w:r>
        <w:rPr>
          <w:rFonts w:cs="Times New Roman"/>
          <w:szCs w:val="28"/>
        </w:rPr>
        <w:t>.《三明经济开发区吉口新兴产业园总体规划调整（2014-2030）》；</w:t>
      </w:r>
    </w:p>
    <w:p>
      <w:pPr>
        <w:ind w:firstLine="560"/>
        <w:rPr>
          <w:rFonts w:cs="Times New Roman"/>
          <w:szCs w:val="28"/>
        </w:rPr>
      </w:pPr>
      <w:r>
        <w:rPr>
          <w:rFonts w:cs="Times New Roman"/>
          <w:szCs w:val="28"/>
        </w:rPr>
        <w:t>1</w:t>
      </w:r>
      <w:r>
        <w:rPr>
          <w:rFonts w:hint="eastAsia" w:cs="Times New Roman"/>
          <w:szCs w:val="28"/>
          <w:lang w:val="en-US" w:eastAsia="zh-CN"/>
        </w:rPr>
        <w:t>3</w:t>
      </w:r>
      <w:r>
        <w:rPr>
          <w:rFonts w:cs="Times New Roman"/>
          <w:szCs w:val="28"/>
        </w:rPr>
        <w:t>.《三明吉口循环经济产业园控制性详细规划》；</w:t>
      </w:r>
    </w:p>
    <w:p>
      <w:pPr>
        <w:ind w:firstLine="560"/>
        <w:rPr>
          <w:rFonts w:cs="Times New Roman"/>
          <w:szCs w:val="28"/>
        </w:rPr>
      </w:pPr>
      <w:r>
        <w:rPr>
          <w:rFonts w:cs="Times New Roman"/>
          <w:szCs w:val="28"/>
        </w:rPr>
        <w:t>1</w:t>
      </w:r>
      <w:r>
        <w:rPr>
          <w:rFonts w:hint="eastAsia" w:cs="Times New Roman"/>
          <w:szCs w:val="28"/>
          <w:lang w:val="en-US" w:eastAsia="zh-CN"/>
        </w:rPr>
        <w:t>4</w:t>
      </w:r>
      <w:r>
        <w:rPr>
          <w:rFonts w:cs="Times New Roman"/>
          <w:szCs w:val="28"/>
        </w:rPr>
        <w:t>.《关于促进</w:t>
      </w:r>
      <w:r>
        <w:rPr>
          <w:rFonts w:hint="eastAsia" w:cs="Times New Roman"/>
          <w:szCs w:val="28"/>
        </w:rPr>
        <w:t>我</w:t>
      </w:r>
      <w:r>
        <w:rPr>
          <w:rFonts w:cs="Times New Roman"/>
          <w:szCs w:val="28"/>
        </w:rPr>
        <w:t>省氟化工产业绿色高效发展的若干意见》（闽工信石化〔2018〕29号）；</w:t>
      </w:r>
    </w:p>
    <w:p>
      <w:pPr>
        <w:ind w:firstLine="560"/>
        <w:rPr>
          <w:rFonts w:cs="Times New Roman"/>
          <w:szCs w:val="28"/>
        </w:rPr>
      </w:pPr>
      <w:r>
        <w:rPr>
          <w:rFonts w:cs="Times New Roman"/>
          <w:szCs w:val="28"/>
        </w:rPr>
        <w:t>1</w:t>
      </w:r>
      <w:r>
        <w:rPr>
          <w:rFonts w:hint="eastAsia" w:cs="Times New Roman"/>
          <w:szCs w:val="28"/>
          <w:lang w:val="en-US" w:eastAsia="zh-CN"/>
        </w:rPr>
        <w:t>5</w:t>
      </w:r>
      <w:r>
        <w:rPr>
          <w:rFonts w:cs="Times New Roman"/>
          <w:szCs w:val="28"/>
        </w:rPr>
        <w:t>.《氟新材料产业发展专题座谈会备忘录》</w:t>
      </w:r>
      <w:r>
        <w:rPr>
          <w:rFonts w:hint="eastAsia" w:cs="Times New Roman"/>
          <w:szCs w:val="28"/>
        </w:rPr>
        <w:t>（</w:t>
      </w:r>
      <w:r>
        <w:rPr>
          <w:rFonts w:cs="Times New Roman"/>
          <w:szCs w:val="28"/>
        </w:rPr>
        <w:t>中共三明市委备忘录〔2020〕42号</w:t>
      </w:r>
      <w:r>
        <w:rPr>
          <w:rFonts w:hint="eastAsia" w:cs="Times New Roman"/>
          <w:szCs w:val="28"/>
        </w:rPr>
        <w:t>）</w:t>
      </w:r>
      <w:r>
        <w:rPr>
          <w:rFonts w:cs="Times New Roman"/>
          <w:szCs w:val="28"/>
        </w:rPr>
        <w:t>；</w:t>
      </w:r>
    </w:p>
    <w:p>
      <w:pPr>
        <w:ind w:firstLine="560"/>
        <w:rPr>
          <w:rFonts w:cs="Times New Roman"/>
          <w:szCs w:val="28"/>
        </w:rPr>
      </w:pPr>
      <w:r>
        <w:rPr>
          <w:rFonts w:hint="eastAsia" w:cs="Times New Roman"/>
          <w:szCs w:val="28"/>
          <w:lang w:val="en-US" w:eastAsia="zh-CN"/>
        </w:rPr>
        <w:t>16</w:t>
      </w:r>
      <w:r>
        <w:rPr>
          <w:rFonts w:cs="Times New Roman"/>
          <w:szCs w:val="28"/>
        </w:rPr>
        <w:t>.《三明市人民政府关于</w:t>
      </w:r>
      <w:r>
        <w:rPr>
          <w:rFonts w:hint="eastAsia" w:cs="Times New Roman"/>
          <w:szCs w:val="28"/>
        </w:rPr>
        <w:t>印发</w:t>
      </w:r>
      <w:r>
        <w:rPr>
          <w:rFonts w:cs="Times New Roman"/>
          <w:szCs w:val="28"/>
        </w:rPr>
        <w:t>三明市支持氟新材料产业加快发展政策措施的通知》（明政函〔2019〕6号）；</w:t>
      </w:r>
    </w:p>
    <w:p>
      <w:pPr>
        <w:ind w:firstLine="560"/>
        <w:rPr>
          <w:rFonts w:cs="Times New Roman"/>
          <w:szCs w:val="28"/>
        </w:rPr>
      </w:pPr>
      <w:r>
        <w:rPr>
          <w:rFonts w:hint="eastAsia" w:cs="Times New Roman"/>
          <w:szCs w:val="28"/>
          <w:lang w:val="en-US" w:eastAsia="zh-CN"/>
        </w:rPr>
        <w:t>17</w:t>
      </w:r>
      <w:r>
        <w:rPr>
          <w:rFonts w:cs="Times New Roman"/>
          <w:szCs w:val="28"/>
        </w:rPr>
        <w:t>.《三明吉口循环经济产业园场址论证报告》（2018年）；</w:t>
      </w:r>
    </w:p>
    <w:p>
      <w:pPr>
        <w:ind w:firstLine="560"/>
        <w:rPr>
          <w:rFonts w:cs="Times New Roman"/>
          <w:szCs w:val="28"/>
        </w:rPr>
      </w:pPr>
      <w:r>
        <w:rPr>
          <w:rFonts w:hint="eastAsia" w:cs="Times New Roman"/>
          <w:szCs w:val="28"/>
          <w:lang w:val="en-US" w:eastAsia="zh-CN"/>
        </w:rPr>
        <w:t>18</w:t>
      </w:r>
      <w:r>
        <w:rPr>
          <w:rFonts w:cs="Times New Roman"/>
          <w:szCs w:val="28"/>
        </w:rPr>
        <w:t>.《三明吉口循环经济产业园控制性详细规划环境影响评价报告书》（2018年）；</w:t>
      </w:r>
    </w:p>
    <w:p>
      <w:pPr>
        <w:ind w:firstLine="560"/>
        <w:rPr>
          <w:rFonts w:cs="Times New Roman"/>
          <w:szCs w:val="28"/>
        </w:rPr>
      </w:pPr>
      <w:r>
        <w:rPr>
          <w:rFonts w:hint="eastAsia" w:cs="Times New Roman"/>
          <w:szCs w:val="28"/>
          <w:lang w:val="en-US" w:eastAsia="zh-CN"/>
        </w:rPr>
        <w:t>19</w:t>
      </w:r>
      <w:r>
        <w:rPr>
          <w:rFonts w:cs="Times New Roman"/>
          <w:szCs w:val="28"/>
        </w:rPr>
        <w:t>.《三明吉口循环经济产业园安全风险评估报告》（2018年）；</w:t>
      </w:r>
    </w:p>
    <w:p>
      <w:pPr>
        <w:ind w:firstLine="560"/>
        <w:rPr>
          <w:rFonts w:cs="Times New Roman"/>
          <w:szCs w:val="28"/>
        </w:rPr>
      </w:pPr>
      <w:r>
        <w:rPr>
          <w:rFonts w:cs="Times New Roman"/>
          <w:szCs w:val="28"/>
        </w:rPr>
        <w:t>2</w:t>
      </w:r>
      <w:r>
        <w:rPr>
          <w:rFonts w:hint="eastAsia" w:cs="Times New Roman"/>
          <w:szCs w:val="28"/>
          <w:lang w:val="en-US" w:eastAsia="zh-CN"/>
        </w:rPr>
        <w:t>0</w:t>
      </w:r>
      <w:r>
        <w:rPr>
          <w:rFonts w:cs="Times New Roman"/>
          <w:szCs w:val="28"/>
        </w:rPr>
        <w:t>.《三明吉口循环经济产业园安全环保基础设施项目可行性研究报告》（2020年）；</w:t>
      </w:r>
    </w:p>
    <w:p>
      <w:pPr>
        <w:ind w:firstLine="560"/>
        <w:rPr>
          <w:rFonts w:cs="Times New Roman"/>
          <w:szCs w:val="28"/>
        </w:rPr>
      </w:pPr>
      <w:r>
        <w:rPr>
          <w:rFonts w:cs="Times New Roman"/>
          <w:szCs w:val="28"/>
        </w:rPr>
        <w:t>2</w:t>
      </w:r>
      <w:r>
        <w:rPr>
          <w:rFonts w:hint="eastAsia" w:cs="Times New Roman"/>
          <w:szCs w:val="28"/>
          <w:lang w:val="en-US" w:eastAsia="zh-CN"/>
        </w:rPr>
        <w:t>1</w:t>
      </w:r>
      <w:r>
        <w:rPr>
          <w:rFonts w:cs="Times New Roman"/>
          <w:szCs w:val="28"/>
        </w:rPr>
        <w:t>.《三明吉口循环经济产业园建设用地地质灾害危险性评估报告》（2020年）；</w:t>
      </w:r>
    </w:p>
    <w:p>
      <w:pPr>
        <w:ind w:firstLine="560"/>
      </w:pPr>
      <w:r>
        <w:rPr>
          <w:rFonts w:cs="Times New Roman"/>
          <w:szCs w:val="28"/>
        </w:rPr>
        <w:t>2</w:t>
      </w:r>
      <w:r>
        <w:rPr>
          <w:rFonts w:hint="eastAsia" w:cs="Times New Roman"/>
          <w:szCs w:val="28"/>
          <w:lang w:val="en-US" w:eastAsia="zh-CN"/>
        </w:rPr>
        <w:t>2</w:t>
      </w:r>
      <w:r>
        <w:rPr>
          <w:rFonts w:cs="Times New Roman"/>
          <w:szCs w:val="28"/>
        </w:rPr>
        <w:t>.其他相关资料。</w:t>
      </w:r>
    </w:p>
    <w:p>
      <w:pPr>
        <w:pStyle w:val="3"/>
        <w:ind w:firstLine="643"/>
      </w:pPr>
      <w:bookmarkStart w:id="7" w:name="_Toc16537"/>
      <w:r>
        <w:rPr>
          <w:rFonts w:hint="eastAsia"/>
        </w:rPr>
        <w:t>编制条件</w:t>
      </w:r>
      <w:bookmarkEnd w:id="7"/>
    </w:p>
    <w:p>
      <w:pPr>
        <w:pStyle w:val="4"/>
        <w:ind w:firstLine="602"/>
        <w:rPr>
          <w:rFonts w:cs="Times New Roman"/>
        </w:rPr>
      </w:pPr>
      <w:bookmarkStart w:id="8" w:name="_Toc6322"/>
      <w:r>
        <w:rPr>
          <w:rFonts w:cs="Times New Roman"/>
        </w:rPr>
        <w:t>（</w:t>
      </w:r>
      <w:r>
        <w:rPr>
          <w:rFonts w:hint="eastAsia" w:cs="Times New Roman"/>
        </w:rPr>
        <w:t>一</w:t>
      </w:r>
      <w:r>
        <w:rPr>
          <w:rFonts w:cs="Times New Roman"/>
        </w:rPr>
        <w:t>）批而未供土地和闲置土地情况</w:t>
      </w:r>
      <w:bookmarkEnd w:id="8"/>
    </w:p>
    <w:p>
      <w:pPr>
        <w:ind w:firstLine="560"/>
        <w:rPr>
          <w:rFonts w:cs="Times New Roman"/>
        </w:rPr>
      </w:pPr>
      <w:r>
        <w:rPr>
          <w:rFonts w:hint="eastAsia" w:cs="Times New Roman"/>
        </w:rPr>
        <w:t>截至2021年1月底，成片开发项目所在的三元区批而未供土地面积226.3260公顷&lt;500公顷。</w:t>
      </w:r>
      <w:r>
        <w:rPr>
          <w:rFonts w:cs="Times New Roman"/>
        </w:rPr>
        <w:t>2019</w:t>
      </w:r>
      <w:r>
        <w:rPr>
          <w:rFonts w:hint="eastAsia" w:cs="Times New Roman"/>
        </w:rPr>
        <w:t>年和</w:t>
      </w:r>
      <w:r>
        <w:rPr>
          <w:rFonts w:cs="Times New Roman"/>
        </w:rPr>
        <w:t>2020</w:t>
      </w:r>
      <w:r>
        <w:rPr>
          <w:rFonts w:hint="eastAsia" w:cs="Times New Roman"/>
        </w:rPr>
        <w:t>年，批而未供土地处置率分别为20.73%和42.50%，均已超过15%。</w:t>
      </w:r>
    </w:p>
    <w:p>
      <w:pPr>
        <w:ind w:firstLine="560"/>
        <w:rPr>
          <w:rFonts w:cs="Times New Roman"/>
        </w:rPr>
      </w:pPr>
      <w:r>
        <w:rPr>
          <w:rFonts w:hint="eastAsia" w:cs="Times New Roman"/>
        </w:rPr>
        <w:t>截至2021年1月底，成片开发项目所在的三元区没有闲置土地。符合</w:t>
      </w:r>
      <w:r>
        <w:rPr>
          <w:rFonts w:hint="eastAsia"/>
        </w:rPr>
        <w:t>《实施细则》</w:t>
      </w:r>
      <w:r>
        <w:rPr>
          <w:rFonts w:hint="eastAsia" w:cs="Times New Roman"/>
        </w:rPr>
        <w:t>的</w:t>
      </w:r>
      <w:r>
        <w:rPr>
          <w:rFonts w:cs="Times New Roman"/>
        </w:rPr>
        <w:t>要求</w:t>
      </w:r>
      <w:r>
        <w:rPr>
          <w:rFonts w:hint="eastAsia" w:cs="Times New Roman"/>
        </w:rPr>
        <w:t>。</w:t>
      </w:r>
    </w:p>
    <w:p>
      <w:pPr>
        <w:pStyle w:val="4"/>
        <w:ind w:firstLine="602"/>
        <w:rPr>
          <w:rFonts w:cs="Times New Roman"/>
        </w:rPr>
      </w:pPr>
      <w:bookmarkStart w:id="9" w:name="_Toc22313"/>
      <w:r>
        <w:rPr>
          <w:rFonts w:hint="eastAsia" w:cs="Times New Roman"/>
        </w:rPr>
        <w:t>（二）开发区土地利用效率情况</w:t>
      </w:r>
      <w:bookmarkEnd w:id="9"/>
      <w:r>
        <w:rPr>
          <w:rFonts w:hint="eastAsia" w:cs="Times New Roman"/>
        </w:rPr>
        <w:t xml:space="preserve"> </w:t>
      </w:r>
    </w:p>
    <w:p>
      <w:pPr>
        <w:ind w:firstLine="560"/>
      </w:pPr>
      <w:r>
        <w:rPr>
          <w:rFonts w:hint="eastAsia"/>
        </w:rPr>
        <w:t>三明经济开发区土地利用方式经历了从粗放型外延拓展到集约型内涵挖潜的转变。三明经济开发区2017年开发区土地集约利用评价排名第67名（共73家参评），由于三明经济开发区不在《中国开发区审核公告目录》（2018年版）的目录中，因此2018年和2019年没有参加开发区土地集约利用评价，三明经济开发区将积极参加2021年度开发区土地集约利用全面评价，不属于连续三年排在全省后三名的情况，符合《实施细则》的要求。</w:t>
      </w:r>
    </w:p>
    <w:p>
      <w:pPr>
        <w:pStyle w:val="4"/>
        <w:ind w:firstLine="602"/>
        <w:rPr>
          <w:rFonts w:cs="Times New Roman"/>
        </w:rPr>
      </w:pPr>
      <w:bookmarkStart w:id="10" w:name="_Toc10991"/>
      <w:r>
        <w:rPr>
          <w:rFonts w:cs="Times New Roman"/>
        </w:rPr>
        <w:t>（</w:t>
      </w:r>
      <w:r>
        <w:rPr>
          <w:rFonts w:hint="eastAsia" w:cs="Times New Roman"/>
        </w:rPr>
        <w:t>三</w:t>
      </w:r>
      <w:r>
        <w:rPr>
          <w:rFonts w:cs="Times New Roman"/>
        </w:rPr>
        <w:t>）已批准土地征收成片开发方案实施情况</w:t>
      </w:r>
      <w:bookmarkEnd w:id="10"/>
    </w:p>
    <w:p>
      <w:pPr>
        <w:ind w:firstLine="560"/>
        <w:rPr>
          <w:szCs w:val="28"/>
        </w:rPr>
      </w:pPr>
      <w:r>
        <w:rPr>
          <w:rFonts w:hint="eastAsia"/>
          <w:szCs w:val="28"/>
        </w:rPr>
        <w:t>三明市三元区无已批准的土地征收成片开发方案。</w:t>
      </w:r>
    </w:p>
    <w:p>
      <w:pPr>
        <w:ind w:firstLine="560"/>
      </w:pPr>
    </w:p>
    <w:p>
      <w:pPr>
        <w:pStyle w:val="3"/>
        <w:ind w:firstLine="643"/>
      </w:pPr>
      <w:bookmarkStart w:id="11" w:name="_Toc6096"/>
      <w:r>
        <w:t>基本情况</w:t>
      </w:r>
      <w:bookmarkEnd w:id="0"/>
      <w:bookmarkEnd w:id="2"/>
      <w:bookmarkEnd w:id="3"/>
      <w:bookmarkEnd w:id="11"/>
    </w:p>
    <w:p>
      <w:pPr>
        <w:pStyle w:val="4"/>
        <w:ind w:firstLine="602"/>
        <w:rPr>
          <w:rFonts w:cs="Times New Roman"/>
        </w:rPr>
      </w:pPr>
      <w:bookmarkStart w:id="12" w:name="_Toc11791"/>
      <w:bookmarkStart w:id="13" w:name="_Toc6020"/>
      <w:bookmarkStart w:id="14" w:name="_Toc1159"/>
      <w:bookmarkStart w:id="15" w:name="_Toc21967"/>
      <w:bookmarkStart w:id="16" w:name="_Toc21078"/>
      <w:r>
        <w:rPr>
          <w:rFonts w:cs="Times New Roman"/>
        </w:rPr>
        <w:t>（一）成片开发位置、面积、范围</w:t>
      </w:r>
      <w:bookmarkEnd w:id="12"/>
      <w:bookmarkEnd w:id="13"/>
      <w:bookmarkEnd w:id="14"/>
      <w:bookmarkEnd w:id="15"/>
      <w:bookmarkEnd w:id="16"/>
    </w:p>
    <w:p>
      <w:pPr>
        <w:ind w:firstLine="560"/>
        <w:rPr>
          <w:rFonts w:hint="eastAsia" w:cs="Times New Roman"/>
        </w:rPr>
      </w:pPr>
      <w:r>
        <w:rPr>
          <w:rFonts w:cs="Times New Roman"/>
        </w:rPr>
        <w:t>三明吉口循环经济产业园地处三明市中心城区西部岩前镇的岩前村布溪自然村，</w:t>
      </w:r>
      <w:r>
        <w:rPr>
          <w:rFonts w:hint="eastAsia" w:cs="Times New Roman"/>
        </w:rPr>
        <w:t>不在三明经济开发区范围内，但</w:t>
      </w:r>
      <w:r>
        <w:rPr>
          <w:rFonts w:cs="Times New Roman"/>
        </w:rPr>
        <w:t>由三明经济开发区管委会</w:t>
      </w:r>
      <w:r>
        <w:rPr>
          <w:rFonts w:hint="eastAsia" w:cs="Times New Roman"/>
        </w:rPr>
        <w:t>（省级开发区）</w:t>
      </w:r>
      <w:r>
        <w:rPr>
          <w:rFonts w:cs="Times New Roman"/>
        </w:rPr>
        <w:t>负责管理。距三明市区35公里，距明溪县城36公里，距莆炎高速公路吉口互通口仅4公里，距莆炎高速公路岩前互通口约6公里。本方案涉及</w:t>
      </w:r>
      <w:r>
        <w:rPr>
          <w:rFonts w:hint="eastAsia" w:cs="Times New Roman"/>
        </w:rPr>
        <w:t>三明市三元区岩前镇</w:t>
      </w:r>
      <w:r>
        <w:rPr>
          <w:rFonts w:cs="Times New Roman"/>
        </w:rPr>
        <w:t>岩前村布溪自然村，共</w:t>
      </w:r>
      <w:r>
        <w:rPr>
          <w:rFonts w:hint="eastAsia" w:cs="Times New Roman"/>
        </w:rPr>
        <w:t>1</w:t>
      </w:r>
      <w:r>
        <w:rPr>
          <w:rFonts w:cs="Times New Roman"/>
        </w:rPr>
        <w:t>个镇</w:t>
      </w:r>
      <w:r>
        <w:rPr>
          <w:rFonts w:hint="eastAsia" w:cs="Times New Roman"/>
        </w:rPr>
        <w:t>1</w:t>
      </w:r>
      <w:r>
        <w:rPr>
          <w:rFonts w:cs="Times New Roman"/>
        </w:rPr>
        <w:t>个村；</w:t>
      </w:r>
      <w:r>
        <w:rPr>
          <w:rFonts w:hint="eastAsia" w:cs="Times New Roman"/>
        </w:rPr>
        <w:t>不涉及</w:t>
      </w:r>
      <w:r>
        <w:rPr>
          <w:rFonts w:cs="Times New Roman"/>
        </w:rPr>
        <w:t>省级</w:t>
      </w:r>
      <w:r>
        <w:rPr>
          <w:rFonts w:hint="eastAsia" w:cs="Times New Roman"/>
        </w:rPr>
        <w:t>和国家</w:t>
      </w:r>
      <w:r>
        <w:rPr>
          <w:rFonts w:cs="Times New Roman"/>
        </w:rPr>
        <w:t>开发区</w:t>
      </w:r>
      <w:r>
        <w:rPr>
          <w:rFonts w:hint="eastAsia" w:cs="Times New Roman"/>
        </w:rPr>
        <w:t>。</w:t>
      </w:r>
    </w:p>
    <w:p>
      <w:pPr>
        <w:ind w:firstLine="560"/>
      </w:pPr>
      <w:r>
        <w:t>根据实地勘测调查，本方案成片开发范围总面积</w:t>
      </w:r>
      <w:r>
        <w:rPr>
          <w:rFonts w:hint="eastAsia"/>
        </w:rPr>
        <w:t>149.0845</w:t>
      </w:r>
      <w:r>
        <w:t>公顷，其中：农用地</w:t>
      </w:r>
      <w:r>
        <w:rPr>
          <w:rFonts w:hint="eastAsia"/>
        </w:rPr>
        <w:t>126.5294</w:t>
      </w:r>
      <w:r>
        <w:t>公顷(耕地</w:t>
      </w:r>
      <w:r>
        <w:rPr>
          <w:rFonts w:hint="eastAsia"/>
        </w:rPr>
        <w:t>18.0988</w:t>
      </w:r>
      <w:r>
        <w:t>公顷)，建设用地</w:t>
      </w:r>
      <w:r>
        <w:rPr>
          <w:rFonts w:hint="eastAsia"/>
        </w:rPr>
        <w:t>17.2934</w:t>
      </w:r>
      <w:r>
        <w:t>公顷，未利用地</w:t>
      </w:r>
      <w:r>
        <w:rPr>
          <w:rFonts w:hint="eastAsia"/>
        </w:rPr>
        <w:t>5.2617</w:t>
      </w:r>
      <w:r>
        <w:t>公顷</w:t>
      </w:r>
      <w:r>
        <w:rPr>
          <w:rFonts w:hint="eastAsia"/>
        </w:rPr>
        <w:t>。</w:t>
      </w:r>
      <w:r>
        <w:rPr>
          <w:rFonts w:hint="eastAsia"/>
        </w:rPr>
        <w:tab/>
      </w:r>
    </w:p>
    <w:p>
      <w:pPr>
        <w:pStyle w:val="4"/>
        <w:pageBreakBefore/>
        <w:ind w:firstLine="602"/>
        <w:rPr>
          <w:rFonts w:cs="Times New Roman"/>
        </w:rPr>
      </w:pPr>
      <w:bookmarkStart w:id="17" w:name="_Toc21143"/>
      <w:bookmarkStart w:id="18" w:name="_Toc19745"/>
      <w:bookmarkStart w:id="19" w:name="_Toc2192"/>
      <w:bookmarkStart w:id="20" w:name="_Toc27466"/>
      <w:bookmarkStart w:id="21" w:name="_Toc19405"/>
      <w:r>
        <w:rPr>
          <w:rFonts w:cs="Times New Roman"/>
        </w:rPr>
        <w:t>（</w:t>
      </w:r>
      <w:r>
        <w:rPr>
          <w:rFonts w:hint="eastAsia" w:cs="Times New Roman"/>
        </w:rPr>
        <w:t>二</w:t>
      </w:r>
      <w:r>
        <w:rPr>
          <w:rFonts w:cs="Times New Roman"/>
        </w:rPr>
        <w:t>）现状基础设施条件</w:t>
      </w:r>
      <w:bookmarkEnd w:id="17"/>
      <w:bookmarkEnd w:id="18"/>
      <w:bookmarkEnd w:id="19"/>
      <w:bookmarkEnd w:id="20"/>
      <w:bookmarkEnd w:id="21"/>
    </w:p>
    <w:p>
      <w:pPr>
        <w:pStyle w:val="5"/>
        <w:ind w:firstLine="562"/>
        <w:rPr>
          <w:rFonts w:cs="Times New Roman"/>
        </w:rPr>
      </w:pPr>
      <w:r>
        <w:rPr>
          <w:rFonts w:cs="Times New Roman"/>
        </w:rPr>
        <w:t>1.道路交通现状</w:t>
      </w:r>
    </w:p>
    <w:p>
      <w:pPr>
        <w:ind w:firstLine="560"/>
        <w:rPr>
          <w:rFonts w:cs="Times New Roman"/>
          <w:szCs w:val="28"/>
        </w:rPr>
      </w:pPr>
      <w:r>
        <w:rPr>
          <w:rFonts w:cs="Times New Roman"/>
          <w:szCs w:val="28"/>
        </w:rPr>
        <w:t>（1）公路</w:t>
      </w:r>
    </w:p>
    <w:p>
      <w:pPr>
        <w:ind w:firstLine="560"/>
        <w:rPr>
          <w:rFonts w:cs="Times New Roman"/>
        </w:rPr>
      </w:pPr>
      <w:r>
        <w:rPr>
          <w:rFonts w:cs="Times New Roman"/>
        </w:rPr>
        <w:t>园区交通便利，现状有G534国道沿渔塘溪由北向南从园区西北侧穿过，向北联系明溪县、向南联系三明城区，为双向两车道，是园区对外联系的重要通道。G534国道可连接至泉三高速（泉州-三明）</w:t>
      </w:r>
      <w:r>
        <w:rPr>
          <w:rFonts w:hint="eastAsia" w:cs="Times New Roman"/>
        </w:rPr>
        <w:t>和</w:t>
      </w:r>
      <w:r>
        <w:rPr>
          <w:rFonts w:cs="Times New Roman"/>
        </w:rPr>
        <w:t>莆炎</w:t>
      </w:r>
      <w:r>
        <w:rPr>
          <w:rFonts w:hint="eastAsia" w:cs="Times New Roman"/>
        </w:rPr>
        <w:t>高速（</w:t>
      </w:r>
      <w:r>
        <w:rPr>
          <w:rFonts w:cs="Times New Roman"/>
        </w:rPr>
        <w:t>莆田</w:t>
      </w:r>
      <w:r>
        <w:rPr>
          <w:rFonts w:hint="eastAsia" w:cs="Times New Roman"/>
        </w:rPr>
        <w:t>-</w:t>
      </w:r>
      <w:r>
        <w:rPr>
          <w:rFonts w:cs="Times New Roman"/>
        </w:rPr>
        <w:t>炎陵</w:t>
      </w:r>
      <w:r>
        <w:rPr>
          <w:rFonts w:hint="eastAsia" w:cs="Times New Roman"/>
        </w:rPr>
        <w:t>）</w:t>
      </w:r>
      <w:r>
        <w:rPr>
          <w:rFonts w:cs="Times New Roman"/>
        </w:rPr>
        <w:t>，距泉三高速（莘口枢纽）互通口7公里</w:t>
      </w:r>
      <w:r>
        <w:rPr>
          <w:rFonts w:hint="eastAsia" w:cs="Times New Roman"/>
        </w:rPr>
        <w:t>，距</w:t>
      </w:r>
      <w:r>
        <w:rPr>
          <w:rFonts w:cs="Times New Roman"/>
        </w:rPr>
        <w:t>莆炎</w:t>
      </w:r>
      <w:r>
        <w:rPr>
          <w:rFonts w:hint="eastAsia" w:cs="Times New Roman"/>
        </w:rPr>
        <w:t>高速（吉口互通口）4公里，距</w:t>
      </w:r>
      <w:r>
        <w:rPr>
          <w:rFonts w:cs="Times New Roman"/>
        </w:rPr>
        <w:t>莆炎</w:t>
      </w:r>
      <w:r>
        <w:rPr>
          <w:rFonts w:hint="eastAsia" w:cs="Times New Roman"/>
        </w:rPr>
        <w:t>高速（岩前互通口）6公里</w:t>
      </w:r>
      <w:r>
        <w:rPr>
          <w:rFonts w:cs="Times New Roman"/>
        </w:rPr>
        <w:t>；园区周围有较为便捷的农村公路网与周边村庄和G534国道相连接。</w:t>
      </w:r>
    </w:p>
    <w:p>
      <w:pPr>
        <w:ind w:firstLine="560"/>
        <w:rPr>
          <w:rFonts w:cs="Times New Roman"/>
          <w:szCs w:val="28"/>
        </w:rPr>
      </w:pPr>
      <w:r>
        <w:rPr>
          <w:rFonts w:cs="Times New Roman"/>
          <w:szCs w:val="28"/>
        </w:rPr>
        <w:t>（2）铁路</w:t>
      </w:r>
    </w:p>
    <w:p>
      <w:pPr>
        <w:ind w:firstLine="560"/>
        <w:rPr>
          <w:rFonts w:cs="Times New Roman"/>
        </w:rPr>
      </w:pPr>
      <w:r>
        <w:rPr>
          <w:rFonts w:cs="Times New Roman"/>
        </w:rPr>
        <w:t>园区南侧现有鹰厦铁路，北起江西鹰潭市、南至福建厦门市，是中国东南部地区重要的铁路干线，园区距鹰厦铁路荆西铁路货运站24公里、距三明北（沙县）站42公里；向莆（江西向塘-福建莆田）高速铁路已建成通车，设站三明北（沙县）；南三龙（南平-三明-龙岩）城际铁路在三明市境内设站三明北（沙县）、三明站等2个站，园区距三明站27公里；兴泉铁路（江西兴国-福建泉州）是海西经济区通往中西南地区铁路通道的重要组成部分，是一条以开发沿线国土资源、服务革命老区为主的区域客货运铁路，园区距</w:t>
      </w:r>
      <w:r>
        <w:rPr>
          <w:rFonts w:hint="eastAsia" w:cs="Times New Roman"/>
        </w:rPr>
        <w:t>三元区</w:t>
      </w:r>
      <w:r>
        <w:rPr>
          <w:rFonts w:cs="Times New Roman"/>
        </w:rPr>
        <w:t>眉山村站20公里。</w:t>
      </w:r>
    </w:p>
    <w:p>
      <w:pPr>
        <w:ind w:firstLine="560"/>
        <w:rPr>
          <w:rFonts w:cs="Times New Roman"/>
          <w:szCs w:val="28"/>
        </w:rPr>
      </w:pPr>
      <w:r>
        <w:rPr>
          <w:rFonts w:cs="Times New Roman"/>
          <w:szCs w:val="28"/>
        </w:rPr>
        <w:t>（3）机场</w:t>
      </w:r>
    </w:p>
    <w:p>
      <w:pPr>
        <w:ind w:firstLine="560"/>
        <w:rPr>
          <w:rFonts w:cs="Times New Roman"/>
        </w:rPr>
      </w:pPr>
      <w:r>
        <w:rPr>
          <w:rFonts w:cs="Times New Roman"/>
        </w:rPr>
        <w:t>沙县机场位于沙县城郊高砂镇龙慈隧道附近，现已开通北京、上海、广州等国内7个城市航线。机场远期定位为中型机场，可直飞国内主要城市、港澳地区、东南亚等国家。机场距离园区50公里。</w:t>
      </w:r>
    </w:p>
    <w:p>
      <w:pPr>
        <w:pStyle w:val="5"/>
        <w:ind w:firstLine="562"/>
        <w:rPr>
          <w:rFonts w:cs="Times New Roman"/>
        </w:rPr>
      </w:pPr>
      <w:r>
        <w:rPr>
          <w:rFonts w:cs="Times New Roman"/>
        </w:rPr>
        <w:t>2.市政设施现状</w:t>
      </w:r>
    </w:p>
    <w:p>
      <w:pPr>
        <w:ind w:firstLine="560"/>
        <w:rPr>
          <w:rFonts w:cs="Times New Roman"/>
          <w:szCs w:val="28"/>
        </w:rPr>
      </w:pPr>
      <w:r>
        <w:rPr>
          <w:rFonts w:cs="Times New Roman"/>
          <w:szCs w:val="28"/>
        </w:rPr>
        <w:t>经调研，该地块的市政供水供电系统完善，北面为吉口变电站，南面1.5公里为岩前变电站，南侧有两条110kV高压线东西向穿过，</w:t>
      </w:r>
      <w:r>
        <w:rPr>
          <w:rFonts w:hint="eastAsia" w:cs="Times New Roman"/>
          <w:szCs w:val="28"/>
        </w:rPr>
        <w:t>达到</w:t>
      </w:r>
      <w:r>
        <w:rPr>
          <w:rFonts w:cs="Times New Roman"/>
          <w:szCs w:val="28"/>
        </w:rPr>
        <w:t>双电源供电。</w:t>
      </w:r>
    </w:p>
    <w:p>
      <w:pPr>
        <w:ind w:firstLine="560"/>
        <w:rPr>
          <w:rFonts w:cs="Times New Roman"/>
          <w:szCs w:val="28"/>
        </w:rPr>
      </w:pPr>
      <w:r>
        <w:rPr>
          <w:rFonts w:cs="Times New Roman"/>
          <w:szCs w:val="28"/>
        </w:rPr>
        <w:t>天然气项目位于三明经济开发区吉口片区，设置6台150立方LNG储罐，8台空温式气化器,已完成建设8公里燃气管网。</w:t>
      </w:r>
      <w:r>
        <w:rPr>
          <w:rFonts w:hint="eastAsia" w:cs="Times New Roman"/>
          <w:szCs w:val="28"/>
        </w:rPr>
        <w:t>目前场站正在建设，预计2021年4月完工，</w:t>
      </w:r>
      <w:r>
        <w:rPr>
          <w:rFonts w:cs="Times New Roman"/>
          <w:szCs w:val="28"/>
        </w:rPr>
        <w:t>项目建成</w:t>
      </w:r>
      <w:r>
        <w:rPr>
          <w:rFonts w:hint="eastAsia" w:cs="Times New Roman"/>
          <w:szCs w:val="28"/>
        </w:rPr>
        <w:t>后</w:t>
      </w:r>
      <w:r>
        <w:rPr>
          <w:rFonts w:cs="Times New Roman"/>
          <w:szCs w:val="28"/>
        </w:rPr>
        <w:t>可实现供应天然气最大日供38万m</w:t>
      </w:r>
      <w:r>
        <w:rPr>
          <w:rFonts w:cs="Times New Roman"/>
          <w:szCs w:val="28"/>
          <w:vertAlign w:val="superscript"/>
        </w:rPr>
        <w:t>3</w:t>
      </w:r>
      <w:r>
        <w:rPr>
          <w:rFonts w:cs="Times New Roman"/>
          <w:szCs w:val="28"/>
        </w:rPr>
        <w:t>。</w:t>
      </w:r>
    </w:p>
    <w:p>
      <w:pPr>
        <w:ind w:firstLine="560"/>
        <w:rPr>
          <w:rFonts w:cs="Times New Roman"/>
          <w:szCs w:val="28"/>
        </w:rPr>
      </w:pPr>
      <w:r>
        <w:rPr>
          <w:rFonts w:cs="Times New Roman"/>
          <w:szCs w:val="28"/>
        </w:rPr>
        <w:t>中部沿渔塘溪现有污水处理厂1座，主要服务和处理三明经济开发区的工业废水和生活污水。已建成的一期污水处理厂内建设1套5000 m</w:t>
      </w:r>
      <w:r>
        <w:rPr>
          <w:rFonts w:cs="Times New Roman"/>
          <w:szCs w:val="28"/>
          <w:vertAlign w:val="superscript"/>
        </w:rPr>
        <w:t>3</w:t>
      </w:r>
      <w:r>
        <w:rPr>
          <w:rFonts w:cs="Times New Roman"/>
          <w:szCs w:val="28"/>
        </w:rPr>
        <w:t>/d污水处理设施，将中水回用于三明经济开发区绿化等市政杂用。</w:t>
      </w:r>
    </w:p>
    <w:p>
      <w:pPr>
        <w:ind w:firstLine="560"/>
      </w:pPr>
      <w:r>
        <w:rPr>
          <w:rFonts w:hint="eastAsia"/>
        </w:rPr>
        <w:t>电信、移动等通讯信号实现全域覆盖。未来将规划建设供热等设施，进一步提升园区配套服务水平。</w:t>
      </w:r>
    </w:p>
    <w:p>
      <w:pPr>
        <w:pStyle w:val="4"/>
        <w:ind w:firstLine="602"/>
      </w:pPr>
      <w:bookmarkStart w:id="22" w:name="_Toc23388"/>
      <w:r>
        <w:rPr>
          <w:rFonts w:hint="eastAsia"/>
        </w:rPr>
        <w:t>（三）</w:t>
      </w:r>
      <w:r>
        <w:t>实施周期</w:t>
      </w:r>
      <w:bookmarkEnd w:id="22"/>
    </w:p>
    <w:p>
      <w:pPr>
        <w:ind w:firstLine="560"/>
        <w:rPr>
          <w:rFonts w:cs="Times New Roman"/>
        </w:rPr>
      </w:pPr>
      <w:r>
        <w:rPr>
          <w:rFonts w:cs="Times New Roman"/>
        </w:rPr>
        <w:t>《三明经济开发区2020年工作要点》文件中提出加快吉口循环经济产业园建设的任务</w:t>
      </w:r>
      <w:r>
        <w:rPr>
          <w:rFonts w:hint="eastAsia" w:cs="Times New Roman"/>
        </w:rPr>
        <w:t>要求</w:t>
      </w:r>
      <w:r>
        <w:rPr>
          <w:rFonts w:cs="Times New Roman"/>
        </w:rPr>
        <w:t>，三明</w:t>
      </w:r>
      <w:r>
        <w:rPr>
          <w:rFonts w:hint="eastAsia" w:cs="Times New Roman"/>
        </w:rPr>
        <w:t>市</w:t>
      </w:r>
      <w:r>
        <w:rPr>
          <w:rFonts w:cs="Times New Roman"/>
        </w:rPr>
        <w:t>遵循城市发展机理</w:t>
      </w:r>
      <w:r>
        <w:rPr>
          <w:rFonts w:hint="eastAsia" w:cs="Times New Roman"/>
        </w:rPr>
        <w:t>和氟新材料产业发展需要</w:t>
      </w:r>
      <w:r>
        <w:rPr>
          <w:rFonts w:cs="Times New Roman"/>
        </w:rPr>
        <w:t>，统筹考虑资源禀赋、交通条件、基础设施、融资情况、建设计划等因素，本方案实施周期为</w:t>
      </w:r>
      <w:r>
        <w:rPr>
          <w:rFonts w:hint="eastAsia" w:cs="Times New Roman"/>
        </w:rPr>
        <w:t>3</w:t>
      </w:r>
      <w:r>
        <w:rPr>
          <w:rFonts w:cs="Times New Roman"/>
        </w:rPr>
        <w:t>年(20</w:t>
      </w:r>
      <w:r>
        <w:rPr>
          <w:rFonts w:hint="eastAsia" w:cs="Times New Roman"/>
        </w:rPr>
        <w:t>21</w:t>
      </w:r>
      <w:r>
        <w:rPr>
          <w:rFonts w:cs="Times New Roman"/>
        </w:rPr>
        <w:t>年至20</w:t>
      </w:r>
      <w:r>
        <w:rPr>
          <w:rFonts w:hint="eastAsia" w:cs="Times New Roman"/>
        </w:rPr>
        <w:t>23</w:t>
      </w:r>
      <w:r>
        <w:rPr>
          <w:rFonts w:cs="Times New Roman"/>
        </w:rPr>
        <w:t>年)。</w:t>
      </w:r>
    </w:p>
    <w:p>
      <w:pPr>
        <w:pStyle w:val="3"/>
        <w:ind w:firstLine="643"/>
      </w:pPr>
      <w:bookmarkStart w:id="23" w:name="_Toc18831"/>
      <w:bookmarkStart w:id="24" w:name="_Toc19244"/>
      <w:bookmarkStart w:id="25" w:name="_Toc25719"/>
      <w:bookmarkStart w:id="26" w:name="_Toc15740_WPSOffice_Level1"/>
      <w:bookmarkStart w:id="27" w:name="_Toc26213_WPSOffice_Level1"/>
      <w:bookmarkStart w:id="28" w:name="_Toc4291"/>
      <w:bookmarkStart w:id="29" w:name="_Toc27052"/>
      <w:bookmarkStart w:id="30" w:name="_Toc20878"/>
      <w:bookmarkStart w:id="31" w:name="_Toc4307_WPSOffice_Level1"/>
      <w:bookmarkStart w:id="32" w:name="_Toc13386"/>
      <w:bookmarkStart w:id="33" w:name="_Toc30685_WPSOffice_Level1"/>
      <w:bookmarkStart w:id="34" w:name="_Toc19931"/>
      <w:r>
        <w:t>必要性</w:t>
      </w:r>
      <w:bookmarkEnd w:id="23"/>
      <w:bookmarkEnd w:id="24"/>
      <w:bookmarkEnd w:id="25"/>
      <w:bookmarkEnd w:id="26"/>
      <w:bookmarkEnd w:id="27"/>
      <w:bookmarkEnd w:id="28"/>
      <w:bookmarkEnd w:id="29"/>
      <w:bookmarkEnd w:id="30"/>
      <w:bookmarkEnd w:id="31"/>
      <w:bookmarkEnd w:id="32"/>
      <w:bookmarkEnd w:id="33"/>
      <w:r>
        <w:rPr>
          <w:rFonts w:hint="eastAsia"/>
        </w:rPr>
        <w:t>分析</w:t>
      </w:r>
      <w:bookmarkEnd w:id="34"/>
    </w:p>
    <w:p>
      <w:pPr>
        <w:pStyle w:val="4"/>
        <w:ind w:firstLine="602"/>
        <w:rPr>
          <w:rFonts w:cs="Times New Roman"/>
        </w:rPr>
      </w:pPr>
      <w:bookmarkStart w:id="35" w:name="_Toc24488"/>
      <w:bookmarkStart w:id="36" w:name="_Toc26213_WPSOffice_Level2"/>
      <w:bookmarkStart w:id="37" w:name="_Toc15740_WPSOffice_Level2"/>
      <w:bookmarkStart w:id="38" w:name="_Toc7815"/>
      <w:bookmarkStart w:id="39" w:name="_Toc30685_WPSOffice_Level2"/>
      <w:bookmarkStart w:id="40" w:name="_Toc11117"/>
      <w:bookmarkStart w:id="41" w:name="_Toc1902"/>
      <w:bookmarkStart w:id="42" w:name="_Toc20325"/>
      <w:bookmarkStart w:id="43" w:name="_Toc5676"/>
      <w:bookmarkStart w:id="44" w:name="_Toc4307_WPSOffice_Level2"/>
      <w:bookmarkStart w:id="45" w:name="_Toc16202"/>
      <w:r>
        <w:rPr>
          <w:rFonts w:cs="Times New Roman"/>
        </w:rPr>
        <w:t>（一）氟新材料产业重要性及发展趋势</w:t>
      </w:r>
      <w:bookmarkEnd w:id="35"/>
      <w:bookmarkEnd w:id="36"/>
      <w:bookmarkEnd w:id="37"/>
      <w:bookmarkEnd w:id="38"/>
      <w:bookmarkEnd w:id="39"/>
      <w:bookmarkEnd w:id="40"/>
      <w:bookmarkEnd w:id="41"/>
      <w:bookmarkEnd w:id="42"/>
      <w:bookmarkEnd w:id="43"/>
      <w:bookmarkEnd w:id="44"/>
      <w:bookmarkEnd w:id="45"/>
    </w:p>
    <w:p>
      <w:pPr>
        <w:ind w:firstLine="560"/>
        <w:rPr>
          <w:rFonts w:cs="Times New Roman"/>
        </w:rPr>
      </w:pPr>
      <w:r>
        <w:rPr>
          <w:rFonts w:cs="Times New Roman"/>
        </w:rPr>
        <w:t>氟新材料产品应用广泛，氟新材料产品不仅用于高端装备制造业、新能源、电子信息等战略新兴产业，而且在改造提升传统产业方面发挥着重要作用。氟材料与战略性新兴产业相关性详见</w:t>
      </w:r>
      <w:r>
        <w:rPr>
          <w:rFonts w:hint="eastAsia" w:cs="Times New Roman"/>
        </w:rPr>
        <w:t>下</w:t>
      </w:r>
      <w:r>
        <w:rPr>
          <w:rFonts w:cs="Times New Roman"/>
        </w:rPr>
        <w:t>表</w:t>
      </w:r>
      <w:r>
        <w:rPr>
          <w:rFonts w:hint="eastAsia" w:cs="Times New Roman"/>
        </w:rPr>
        <w:t>1</w:t>
      </w:r>
      <w:r>
        <w:rPr>
          <w:rFonts w:cs="Times New Roman"/>
        </w:rPr>
        <w:t>。</w:t>
      </w:r>
    </w:p>
    <w:p>
      <w:pPr>
        <w:ind w:firstLine="480"/>
        <w:jc w:val="center"/>
      </w:pPr>
      <w:r>
        <w:rPr>
          <w:rFonts w:cs="Times New Roman"/>
          <w:sz w:val="24"/>
        </w:rPr>
        <w:t>表</w:t>
      </w:r>
      <w:r>
        <w:rPr>
          <w:rFonts w:hint="eastAsia" w:cs="Times New Roman"/>
          <w:sz w:val="24"/>
        </w:rPr>
        <w:t>1</w:t>
      </w:r>
      <w:r>
        <w:rPr>
          <w:rFonts w:cs="Times New Roman"/>
          <w:sz w:val="24"/>
        </w:rPr>
        <w:t xml:space="preserve">   氟材料与战略性新兴产业相关性</w:t>
      </w:r>
    </w:p>
    <w:tbl>
      <w:tblPr>
        <w:tblStyle w:val="15"/>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01"/>
        <w:gridCol w:w="1299"/>
        <w:gridCol w:w="4951"/>
        <w:gridCol w:w="14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序号</w:t>
            </w:r>
          </w:p>
        </w:tc>
        <w:tc>
          <w:tcPr>
            <w:tcW w:w="1299"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新兴产业</w:t>
            </w:r>
          </w:p>
        </w:tc>
        <w:tc>
          <w:tcPr>
            <w:tcW w:w="4951"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含氟材料</w:t>
            </w:r>
          </w:p>
        </w:tc>
        <w:tc>
          <w:tcPr>
            <w:tcW w:w="1471"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应用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restart"/>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1</w:t>
            </w:r>
          </w:p>
        </w:tc>
        <w:tc>
          <w:tcPr>
            <w:tcW w:w="1299" w:type="dxa"/>
            <w:vMerge w:val="restart"/>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新能源</w:t>
            </w: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含氟背板膜（PVDF膜、PVF膜、ETFE膜）</w:t>
            </w:r>
          </w:p>
        </w:tc>
        <w:tc>
          <w:tcPr>
            <w:tcW w:w="1471" w:type="dxa"/>
            <w:vMerge w:val="restart"/>
            <w:tcBorders>
              <w:tl2br w:val="nil"/>
              <w:tr2bl w:val="nil"/>
            </w:tcBorders>
            <w:noWrap/>
            <w:vAlign w:val="center"/>
          </w:tcPr>
          <w:p>
            <w:pPr>
              <w:spacing w:line="240" w:lineRule="auto"/>
              <w:ind w:firstLine="0" w:firstLineChars="0"/>
              <w:rPr>
                <w:rFonts w:cs="Times New Roman"/>
                <w:sz w:val="24"/>
              </w:rPr>
            </w:pPr>
            <w:r>
              <w:rPr>
                <w:rFonts w:cs="Times New Roman"/>
                <w:sz w:val="24"/>
              </w:rPr>
              <w:t>太阳能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含氟前板膜（ETFE膜、FEP膜）</w:t>
            </w:r>
          </w:p>
        </w:tc>
        <w:tc>
          <w:tcPr>
            <w:tcW w:w="1471" w:type="dxa"/>
            <w:vMerge w:val="continue"/>
            <w:tcBorders>
              <w:tl2br w:val="nil"/>
              <w:tr2bl w:val="nil"/>
            </w:tcBorders>
            <w:noWrap/>
            <w:vAlign w:val="center"/>
          </w:tcPr>
          <w:p>
            <w:pPr>
              <w:spacing w:line="240" w:lineRule="auto"/>
              <w:ind w:firstLine="0" w:firstLineChars="0"/>
              <w:rPr>
                <w:rFonts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叶轮氟涂料、冷却工质</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风能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电解液材料：电解质锂盐（六氟磷酸锂、三氟甲基磺酸锂、双三氟甲基磺酰亚胺锂、双氟磺酰亚胺锂等）、电解液溶剂（氟代碳酸乙烯酯）</w:t>
            </w:r>
          </w:p>
        </w:tc>
        <w:tc>
          <w:tcPr>
            <w:tcW w:w="1471" w:type="dxa"/>
            <w:vMerge w:val="restart"/>
            <w:tcBorders>
              <w:tl2br w:val="nil"/>
              <w:tr2bl w:val="nil"/>
            </w:tcBorders>
            <w:noWrap/>
            <w:vAlign w:val="center"/>
          </w:tcPr>
          <w:p>
            <w:pPr>
              <w:spacing w:line="240" w:lineRule="auto"/>
              <w:ind w:firstLine="0" w:firstLineChars="0"/>
              <w:rPr>
                <w:rFonts w:cs="Times New Roman"/>
                <w:sz w:val="24"/>
              </w:rPr>
            </w:pPr>
            <w:r>
              <w:rPr>
                <w:rFonts w:cs="Times New Roman"/>
                <w:sz w:val="24"/>
              </w:rPr>
              <w:t>锂电池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锂电池电极用粘合剂（PVDF粘合剂）</w:t>
            </w:r>
          </w:p>
        </w:tc>
        <w:tc>
          <w:tcPr>
            <w:tcW w:w="1471" w:type="dxa"/>
            <w:vMerge w:val="continue"/>
            <w:tcBorders>
              <w:tl2br w:val="nil"/>
              <w:tr2bl w:val="nil"/>
            </w:tcBorders>
            <w:noWrap/>
            <w:vAlign w:val="center"/>
          </w:tcPr>
          <w:p>
            <w:pPr>
              <w:spacing w:line="240" w:lineRule="auto"/>
              <w:ind w:firstLine="0" w:firstLineChars="0"/>
              <w:rPr>
                <w:rFonts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隔膜（PVF膜）</w:t>
            </w:r>
          </w:p>
        </w:tc>
        <w:tc>
          <w:tcPr>
            <w:tcW w:w="1471" w:type="dxa"/>
            <w:vMerge w:val="continue"/>
            <w:tcBorders>
              <w:tl2br w:val="nil"/>
              <w:tr2bl w:val="nil"/>
            </w:tcBorders>
            <w:noWrap/>
            <w:vAlign w:val="center"/>
          </w:tcPr>
          <w:p>
            <w:pPr>
              <w:spacing w:line="240" w:lineRule="auto"/>
              <w:ind w:firstLine="0" w:firstLineChars="0"/>
              <w:rPr>
                <w:rFonts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正极材料（氟化石墨）</w:t>
            </w:r>
          </w:p>
        </w:tc>
        <w:tc>
          <w:tcPr>
            <w:tcW w:w="1471" w:type="dxa"/>
            <w:vMerge w:val="continue"/>
            <w:tcBorders>
              <w:tl2br w:val="nil"/>
              <w:tr2bl w:val="nil"/>
            </w:tcBorders>
            <w:noWrap/>
            <w:vAlign w:val="center"/>
          </w:tcPr>
          <w:p>
            <w:pPr>
              <w:spacing w:line="240" w:lineRule="auto"/>
              <w:ind w:firstLine="0" w:firstLineChars="0"/>
              <w:rPr>
                <w:rFonts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1299" w:type="dxa"/>
            <w:vMerge w:val="continue"/>
            <w:tcBorders>
              <w:tl2br w:val="nil"/>
              <w:tr2bl w:val="nil"/>
            </w:tcBorders>
            <w:noWrap/>
            <w:vAlign w:val="center"/>
          </w:tcPr>
          <w:p>
            <w:pPr>
              <w:spacing w:line="240" w:lineRule="auto"/>
              <w:ind w:firstLine="0" w:firstLineChars="0"/>
              <w:jc w:val="center"/>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含氟质子膜</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燃料电池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2</w:t>
            </w:r>
          </w:p>
        </w:tc>
        <w:tc>
          <w:tcPr>
            <w:tcW w:w="1299"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新能源汽车</w:t>
            </w: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含氟锂电池材料。氟橡胶</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动力锂电池、密封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3</w:t>
            </w:r>
          </w:p>
        </w:tc>
        <w:tc>
          <w:tcPr>
            <w:tcW w:w="1299"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新兴信息</w:t>
            </w: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含氟液晶、含氟电子化学品、电缆</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含氟液晶、含氟电子化学品、电缆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4</w:t>
            </w:r>
          </w:p>
        </w:tc>
        <w:tc>
          <w:tcPr>
            <w:tcW w:w="1299" w:type="dxa"/>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新医药</w:t>
            </w: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新型含氟中间体、高效氟化试剂</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含氟创新农药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restart"/>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5</w:t>
            </w:r>
          </w:p>
        </w:tc>
        <w:tc>
          <w:tcPr>
            <w:tcW w:w="1299" w:type="dxa"/>
            <w:vMerge w:val="restart"/>
            <w:tcBorders>
              <w:tl2br w:val="nil"/>
              <w:tr2bl w:val="nil"/>
            </w:tcBorders>
            <w:noWrap/>
            <w:vAlign w:val="center"/>
          </w:tcPr>
          <w:p>
            <w:pPr>
              <w:spacing w:line="240" w:lineRule="auto"/>
              <w:ind w:firstLine="0" w:firstLineChars="0"/>
              <w:jc w:val="center"/>
              <w:rPr>
                <w:rFonts w:cs="Times New Roman"/>
                <w:sz w:val="24"/>
              </w:rPr>
            </w:pPr>
            <w:r>
              <w:rPr>
                <w:rFonts w:cs="Times New Roman"/>
                <w:sz w:val="24"/>
              </w:rPr>
              <w:t>节能环保</w:t>
            </w: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PVDF中空纤维膜</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污水处理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rPr>
                <w:rFonts w:cs="Times New Roman"/>
                <w:sz w:val="24"/>
              </w:rPr>
            </w:pPr>
          </w:p>
        </w:tc>
        <w:tc>
          <w:tcPr>
            <w:tcW w:w="1299" w:type="dxa"/>
            <w:vMerge w:val="continue"/>
            <w:tcBorders>
              <w:tl2br w:val="nil"/>
              <w:tr2bl w:val="nil"/>
            </w:tcBorders>
            <w:noWrap/>
            <w:vAlign w:val="center"/>
          </w:tcPr>
          <w:p>
            <w:pPr>
              <w:spacing w:line="240" w:lineRule="auto"/>
              <w:ind w:firstLine="0" w:firstLineChars="0"/>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PTFE滤膜</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污染物过滤</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801" w:type="dxa"/>
            <w:vMerge w:val="continue"/>
            <w:tcBorders>
              <w:tl2br w:val="nil"/>
              <w:tr2bl w:val="nil"/>
            </w:tcBorders>
            <w:noWrap/>
            <w:vAlign w:val="center"/>
          </w:tcPr>
          <w:p>
            <w:pPr>
              <w:spacing w:line="240" w:lineRule="auto"/>
              <w:ind w:firstLine="0" w:firstLineChars="0"/>
              <w:rPr>
                <w:rFonts w:cs="Times New Roman"/>
                <w:sz w:val="24"/>
              </w:rPr>
            </w:pPr>
          </w:p>
        </w:tc>
        <w:tc>
          <w:tcPr>
            <w:tcW w:w="1299" w:type="dxa"/>
            <w:vMerge w:val="continue"/>
            <w:tcBorders>
              <w:tl2br w:val="nil"/>
              <w:tr2bl w:val="nil"/>
            </w:tcBorders>
            <w:noWrap/>
            <w:vAlign w:val="center"/>
          </w:tcPr>
          <w:p>
            <w:pPr>
              <w:spacing w:line="240" w:lineRule="auto"/>
              <w:ind w:firstLine="0" w:firstLineChars="0"/>
              <w:rPr>
                <w:rFonts w:cs="Times New Roman"/>
                <w:sz w:val="24"/>
              </w:rPr>
            </w:pPr>
          </w:p>
        </w:tc>
        <w:tc>
          <w:tcPr>
            <w:tcW w:w="4951" w:type="dxa"/>
            <w:tcBorders>
              <w:tl2br w:val="nil"/>
              <w:tr2bl w:val="nil"/>
            </w:tcBorders>
            <w:noWrap/>
            <w:vAlign w:val="center"/>
          </w:tcPr>
          <w:p>
            <w:pPr>
              <w:spacing w:line="240" w:lineRule="auto"/>
              <w:ind w:firstLine="0" w:firstLineChars="0"/>
              <w:rPr>
                <w:rFonts w:cs="Times New Roman"/>
                <w:sz w:val="24"/>
              </w:rPr>
            </w:pPr>
            <w:r>
              <w:rPr>
                <w:rFonts w:cs="Times New Roman"/>
                <w:sz w:val="24"/>
              </w:rPr>
              <w:t>氟碳涂料</w:t>
            </w:r>
          </w:p>
        </w:tc>
        <w:tc>
          <w:tcPr>
            <w:tcW w:w="1471" w:type="dxa"/>
            <w:tcBorders>
              <w:tl2br w:val="nil"/>
              <w:tr2bl w:val="nil"/>
            </w:tcBorders>
            <w:noWrap/>
            <w:vAlign w:val="center"/>
          </w:tcPr>
          <w:p>
            <w:pPr>
              <w:spacing w:line="240" w:lineRule="auto"/>
              <w:ind w:firstLine="0" w:firstLineChars="0"/>
              <w:rPr>
                <w:rFonts w:cs="Times New Roman"/>
                <w:sz w:val="24"/>
              </w:rPr>
            </w:pPr>
            <w:r>
              <w:rPr>
                <w:rFonts w:cs="Times New Roman"/>
                <w:sz w:val="24"/>
              </w:rPr>
              <w:t>建筑</w:t>
            </w:r>
          </w:p>
        </w:tc>
      </w:tr>
    </w:tbl>
    <w:p>
      <w:pPr>
        <w:ind w:firstLine="560"/>
        <w:rPr>
          <w:rFonts w:cs="Times New Roman"/>
        </w:rPr>
      </w:pPr>
      <w:r>
        <w:rPr>
          <w:rFonts w:cs="Times New Roman"/>
        </w:rPr>
        <w:t>可以看出氟新材料产业在新兴产业，如新能源、新兴信息、新医药以及节能环保等领域中应用广泛。在未来发展中，氟新材料产业具有重要地位。</w:t>
      </w:r>
    </w:p>
    <w:p>
      <w:pPr>
        <w:ind w:firstLine="560"/>
        <w:rPr>
          <w:rFonts w:cs="Times New Roman"/>
        </w:rPr>
      </w:pPr>
      <w:r>
        <w:rPr>
          <w:rFonts w:cs="Times New Roman"/>
        </w:rPr>
        <w:t>国际氟新材料市场基本趋于成熟，全球产业向资源丰富地区和新兴市场转移，氟新材料跨国企业通过合作、独资等方式进入我国。未来，转型发展、提质增效将成为我国氟材料发展的主旋律、主基调。中国的城镇化、工业化、信息化、农业现代化在积极推进中，既会产生巨大的投资需求，也会产生相应的消费需求。国家实施的“一带一路”和“中国制造2025”战略，坚持创新驱动、智能转型、强化基础、绿色发展，加快从制造大国转向制造强国，为氟材料行业发展提供机遇和保障，将推动氟材料行业平稳增长。未来几年全球氟新材料产品市场需求将以年均3.2%的速度增长，亚太地区特别是中国等发展中国家的增长速度将大大高于全球平均增速。</w:t>
      </w:r>
    </w:p>
    <w:p>
      <w:pPr>
        <w:pStyle w:val="4"/>
        <w:ind w:firstLine="602"/>
        <w:rPr>
          <w:rFonts w:cs="Times New Roman"/>
        </w:rPr>
      </w:pPr>
      <w:bookmarkStart w:id="46" w:name="_Toc19876"/>
      <w:bookmarkStart w:id="47" w:name="_Toc9066"/>
      <w:bookmarkStart w:id="48" w:name="_Toc7276"/>
      <w:bookmarkStart w:id="49" w:name="_Toc1111_WPSOffice_Level2"/>
      <w:bookmarkStart w:id="50" w:name="_Toc331_WPSOffice_Level2"/>
      <w:bookmarkStart w:id="51" w:name="_Toc21316_WPSOffice_Level2"/>
      <w:bookmarkStart w:id="52" w:name="_Toc27873"/>
      <w:bookmarkStart w:id="53" w:name="_Toc6318"/>
      <w:bookmarkStart w:id="54" w:name="_Toc15360_WPSOffice_Level2"/>
      <w:bookmarkStart w:id="55" w:name="_Toc10813"/>
      <w:bookmarkStart w:id="56" w:name="_Toc12433"/>
      <w:r>
        <w:rPr>
          <w:rFonts w:cs="Times New Roman"/>
        </w:rPr>
        <w:t>（二）氟新材料已成为福建省、三明市重点发展产业</w:t>
      </w:r>
      <w:bookmarkEnd w:id="46"/>
      <w:bookmarkEnd w:id="47"/>
      <w:bookmarkEnd w:id="48"/>
      <w:bookmarkEnd w:id="49"/>
      <w:bookmarkEnd w:id="50"/>
      <w:bookmarkEnd w:id="51"/>
      <w:bookmarkEnd w:id="52"/>
      <w:bookmarkEnd w:id="53"/>
      <w:bookmarkEnd w:id="54"/>
      <w:bookmarkEnd w:id="55"/>
      <w:bookmarkEnd w:id="56"/>
    </w:p>
    <w:p>
      <w:pPr>
        <w:ind w:firstLine="560"/>
        <w:rPr>
          <w:rFonts w:cs="Times New Roman"/>
        </w:rPr>
      </w:pPr>
      <w:r>
        <w:rPr>
          <w:rFonts w:cs="Times New Roman"/>
        </w:rPr>
        <w:t>按照中央和省上部署，立足辖区资源优势和产业实际，福建省工业和信息化厅、省发展和改革委员会、省生态环境厅、省自然资源厅联合出台《关于促进福建省氟化工产业绿色高效发展的若干意见》（简称《意见》），对氟化工产业绿色、高质量发展进行了布局，旨在壮大氟化工产业集群；从加强产业规划布局、加强萤石矿资源的优化配置、支持氟化工专业园区建设、优化融资服务等方面提出指导意见。</w:t>
      </w:r>
    </w:p>
    <w:p>
      <w:pPr>
        <w:ind w:firstLine="560"/>
        <w:rPr>
          <w:rFonts w:cs="Times New Roman"/>
        </w:rPr>
      </w:pPr>
      <w:r>
        <w:rPr>
          <w:rFonts w:cs="Times New Roman"/>
        </w:rPr>
        <w:t>《意见》提出，要优化氟化工产业布局，实现绿色发展；要支持氟化工专业园区建设，支持氟化工园区开展循环经济示范园区创建，支持重点项目落地建设，支持企业研发创新；鼓励氟化工园区充分应用节能和资源综合利用新技术、新工艺，促进园区绿色循环低碳发展，力争实现“零”排。</w:t>
      </w:r>
      <w:r>
        <w:rPr>
          <w:rFonts w:cs="Times New Roman"/>
          <w:b/>
          <w:bCs/>
        </w:rPr>
        <w:t>其中，三明吉口循环经济产业园，被省上列为重点支持发展的氟化工专业园区。</w:t>
      </w:r>
    </w:p>
    <w:p>
      <w:pPr>
        <w:ind w:firstLine="560"/>
        <w:rPr>
          <w:rFonts w:cs="Times New Roman"/>
        </w:rPr>
      </w:pPr>
      <w:r>
        <w:rPr>
          <w:rFonts w:cs="Times New Roman"/>
        </w:rPr>
        <w:t>三明市高度重视氟新材料产业发展，将氟新材料产业作为新兴产业打造。</w:t>
      </w:r>
      <w:r>
        <w:rPr>
          <w:rFonts w:cs="Times New Roman"/>
          <w:szCs w:val="28"/>
        </w:rPr>
        <w:t>三明享有福建矿产“聚宝盆”的美称，矿产资源总量占全省第二位，</w:t>
      </w:r>
      <w:r>
        <w:rPr>
          <w:rFonts w:cs="Times New Roman"/>
        </w:rPr>
        <w:t>三明萤石矿成矿地质条件较好，资源丰富，全市探明储量矿石量2158.71万吨、氟化钙906.66万吨，2019年末保有资源储量矿石量1006.32万吨、氟化钙372.341万吨，远景储量3000万吨，萤石矿资源储量居福建省第二位。萤石，是氟新材料产业的基础资源，三明市依托资源优势、突出项目建设、强化创新研发。2018年8月，三明市政府批复建设吉口循环经济产业园，重点发展</w:t>
      </w:r>
      <w:r>
        <w:rPr>
          <w:rFonts w:hint="eastAsia" w:cs="Times New Roman"/>
        </w:rPr>
        <w:t>氟新材料产业</w:t>
      </w:r>
      <w:r>
        <w:rPr>
          <w:rFonts w:cs="Times New Roman"/>
        </w:rPr>
        <w:t>，按照“市县联动、联合攻关、差异发展”的思路，全市氟新材料产业朝着“规模化、集约化、链条化、特色化”方向发展，成为全市经济转型升级的一大亮点。</w:t>
      </w:r>
    </w:p>
    <w:p>
      <w:pPr>
        <w:ind w:firstLine="560"/>
        <w:rPr>
          <w:rFonts w:cs="Times New Roman"/>
        </w:rPr>
      </w:pPr>
      <w:r>
        <w:rPr>
          <w:rFonts w:cs="Times New Roman"/>
        </w:rPr>
        <w:t>2019年以来，三明市各级各有关单位出台支持氟新材料产业发展“一业一策”，为氟新材料产业重点企业量身定制“一企一策”，加快推进三元黄砂新材料循环经济产业园、明溪氟新材料产业园、清流氟新材料产业园、吉口循环经济产业园等4个专业园区建设，加大产业关联项目引进力度，有力推动了</w:t>
      </w:r>
      <w:r>
        <w:rPr>
          <w:rFonts w:hint="eastAsia" w:cs="Times New Roman"/>
        </w:rPr>
        <w:t>三明</w:t>
      </w:r>
      <w:r>
        <w:rPr>
          <w:rFonts w:cs="Times New Roman"/>
        </w:rPr>
        <w:t>市氟新材料产业发展。近年来三明市氟新材料产业产值年均增长20%以上，去年全市氟新材料总产值达50亿元，占四大新兴产业总产值的24.6%。已实现氢氟酸年产能13万吨以上，约占全国总产能的6%，氟化盐年产能2.5万吨以上、电子级氢氟酸年产能1万吨、环保型含氟制冷剂年产能4万吨。福建三化元福新材料有限公司、海斯福等企业将计划投资40亿元，生产电子级氟化氢、聚偏氟乙烯、聚全氟乙丙烯、含氟润滑油、锂电池电解液等产品，将对三明市氟新材料加快发展，起到强有力的龙头带动作用。氟新材料发展对三明市发展具有重要意义，</w:t>
      </w:r>
      <w:r>
        <w:rPr>
          <w:rFonts w:hint="eastAsia" w:cs="Times New Roman"/>
        </w:rPr>
        <w:t>但氟新材料产业发展空间不足，</w:t>
      </w:r>
      <w:r>
        <w:rPr>
          <w:rFonts w:cs="Times New Roman"/>
        </w:rPr>
        <w:t>三明吉口循环经济产业园的建设非常有必要。</w:t>
      </w:r>
    </w:p>
    <w:p>
      <w:pPr>
        <w:pStyle w:val="4"/>
        <w:ind w:firstLine="602"/>
        <w:rPr>
          <w:rFonts w:cs="Times New Roman"/>
        </w:rPr>
      </w:pPr>
      <w:bookmarkStart w:id="57" w:name="_Toc7236_WPSOffice_Level2"/>
      <w:bookmarkStart w:id="58" w:name="_Toc2224_WPSOffice_Level2"/>
      <w:bookmarkStart w:id="59" w:name="_Toc4181"/>
      <w:bookmarkStart w:id="60" w:name="_Toc9079"/>
      <w:bookmarkStart w:id="61" w:name="_Toc28509"/>
      <w:bookmarkStart w:id="62" w:name="_Toc14540_WPSOffice_Level2"/>
      <w:bookmarkStart w:id="63" w:name="_Toc23078"/>
      <w:bookmarkStart w:id="64" w:name="_Toc9302"/>
      <w:bookmarkStart w:id="65" w:name="_Toc31604_WPSOffice_Level2"/>
      <w:bookmarkStart w:id="66" w:name="_Toc20112"/>
      <w:bookmarkStart w:id="67" w:name="_Toc6117"/>
      <w:r>
        <w:rPr>
          <w:rFonts w:cs="Times New Roman"/>
        </w:rPr>
        <w:t>（三）三化退城入园及后续产业项目发展的需要</w:t>
      </w:r>
      <w:bookmarkEnd w:id="57"/>
      <w:bookmarkEnd w:id="58"/>
      <w:bookmarkEnd w:id="59"/>
      <w:bookmarkEnd w:id="60"/>
      <w:bookmarkEnd w:id="61"/>
      <w:bookmarkEnd w:id="62"/>
      <w:bookmarkEnd w:id="63"/>
      <w:bookmarkEnd w:id="64"/>
      <w:bookmarkEnd w:id="65"/>
      <w:bookmarkEnd w:id="66"/>
      <w:bookmarkEnd w:id="67"/>
    </w:p>
    <w:p>
      <w:pPr>
        <w:ind w:firstLine="560"/>
        <w:rPr>
          <w:rFonts w:cs="Times New Roman"/>
        </w:rPr>
      </w:pPr>
      <w:r>
        <w:rPr>
          <w:rFonts w:cs="Times New Roman"/>
          <w:szCs w:val="28"/>
        </w:rPr>
        <w:t>根据国家工信部2015年12月提出的《推进城镇人口密集区高风险危化品生产企业搬迁改造工作方案》</w:t>
      </w:r>
      <w:r>
        <w:rPr>
          <w:rFonts w:hint="eastAsia" w:cs="Times New Roman"/>
          <w:szCs w:val="28"/>
        </w:rPr>
        <w:t>，</w:t>
      </w:r>
      <w:r>
        <w:rPr>
          <w:rFonts w:cs="Times New Roman"/>
        </w:rPr>
        <w:t>2018年</w:t>
      </w:r>
      <w:r>
        <w:rPr>
          <w:rFonts w:hint="eastAsia" w:cs="Times New Roman"/>
        </w:rPr>
        <w:t>，</w:t>
      </w:r>
      <w:r>
        <w:rPr>
          <w:rFonts w:cs="Times New Roman"/>
        </w:rPr>
        <w:t>三明市委市政府启动福建三化元福新材料有限公司退城入园项目，将三明吉口循环经济产业园作为福建三化元福新材料有限公司退城入园承接地，目前一期项目已竣工，根据福建三化元福新材料有限公司产业战略布局，未来还将启动投资总额20亿的二期、三期氟新材料产业项目，后续产业项目</w:t>
      </w:r>
      <w:r>
        <w:rPr>
          <w:rFonts w:cs="Times New Roman"/>
          <w:szCs w:val="28"/>
        </w:rPr>
        <w:t>亟需</w:t>
      </w:r>
      <w:r>
        <w:rPr>
          <w:rFonts w:cs="Times New Roman"/>
        </w:rPr>
        <w:t>项目用地。</w:t>
      </w:r>
    </w:p>
    <w:p>
      <w:pPr>
        <w:ind w:firstLine="560"/>
        <w:rPr>
          <w:rFonts w:cs="Times New Roman"/>
        </w:rPr>
      </w:pPr>
      <w:r>
        <w:rPr>
          <w:rFonts w:cs="Times New Roman"/>
        </w:rPr>
        <w:t>福建三化元福新材料有限公司</w:t>
      </w:r>
      <w:r>
        <w:rPr>
          <w:rFonts w:cs="Times New Roman"/>
          <w:szCs w:val="28"/>
        </w:rPr>
        <w:t>因其较强的综合实力和转型发展氟新材料产业深度契合三明市产业发展布局，已被列为全市十家重点培育的百亿龙头企业，</w:t>
      </w:r>
      <w:r>
        <w:rPr>
          <w:rFonts w:hint="eastAsia" w:cs="Times New Roman"/>
          <w:szCs w:val="28"/>
          <w:lang w:eastAsia="zh-Hans"/>
        </w:rPr>
        <w:t>未</w:t>
      </w:r>
      <w:r>
        <w:rPr>
          <w:rFonts w:cs="Times New Roman"/>
          <w:szCs w:val="28"/>
        </w:rPr>
        <w:t>来发展前景广阔。为妥善安置三明市既有大型工业企业，亟需有专业园区容纳</w:t>
      </w:r>
      <w:r>
        <w:rPr>
          <w:rFonts w:cs="Times New Roman"/>
        </w:rPr>
        <w:t>福建三化元福新材料有限公司</w:t>
      </w:r>
      <w:r>
        <w:rPr>
          <w:rFonts w:cs="Times New Roman"/>
          <w:szCs w:val="28"/>
        </w:rPr>
        <w:t>后续产业项目建设。</w:t>
      </w:r>
    </w:p>
    <w:p>
      <w:pPr>
        <w:pStyle w:val="4"/>
        <w:ind w:firstLine="602"/>
        <w:rPr>
          <w:rFonts w:cs="Times New Roman"/>
        </w:rPr>
      </w:pPr>
      <w:bookmarkStart w:id="68" w:name="_Toc24618"/>
      <w:bookmarkStart w:id="69" w:name="_Toc3173"/>
      <w:bookmarkStart w:id="70" w:name="_Toc24065_WPSOffice_Level2"/>
      <w:bookmarkStart w:id="71" w:name="_Toc14408_WPSOffice_Level2"/>
      <w:bookmarkStart w:id="72" w:name="_Toc11194_WPSOffice_Level2"/>
      <w:bookmarkStart w:id="73" w:name="_Toc6545"/>
      <w:bookmarkStart w:id="74" w:name="_Toc16021"/>
      <w:bookmarkStart w:id="75" w:name="_Toc3296_WPSOffice_Level2"/>
      <w:bookmarkStart w:id="76" w:name="_Toc13418"/>
      <w:bookmarkStart w:id="77" w:name="_Toc8836"/>
      <w:bookmarkStart w:id="78" w:name="_Toc26932"/>
      <w:r>
        <w:rPr>
          <w:rFonts w:cs="Times New Roman"/>
        </w:rPr>
        <w:t>（四）其他项目入驻的需要</w:t>
      </w:r>
      <w:bookmarkEnd w:id="68"/>
      <w:bookmarkEnd w:id="69"/>
      <w:bookmarkEnd w:id="70"/>
      <w:bookmarkEnd w:id="71"/>
      <w:bookmarkEnd w:id="72"/>
      <w:bookmarkEnd w:id="73"/>
      <w:bookmarkEnd w:id="74"/>
      <w:bookmarkEnd w:id="75"/>
      <w:bookmarkEnd w:id="76"/>
      <w:bookmarkEnd w:id="77"/>
      <w:bookmarkEnd w:id="78"/>
    </w:p>
    <w:p>
      <w:pPr>
        <w:ind w:firstLine="560"/>
        <w:rPr>
          <w:rFonts w:cs="Times New Roman"/>
        </w:rPr>
      </w:pPr>
      <w:r>
        <w:rPr>
          <w:rFonts w:cs="Times New Roman"/>
        </w:rPr>
        <w:t>三明吉口循环经济产业园重点发展氟新材料产业，将打造成全市乃至全省氟新材料的领军企业，助推三明工业产业转型升级。目前6家氟新材料产业的企业有意向落户于三明吉口循环经济产业园内，总投资额约55亿元，具体项目名称详见</w:t>
      </w:r>
      <w:r>
        <w:rPr>
          <w:rFonts w:hint="eastAsia" w:cs="Times New Roman"/>
        </w:rPr>
        <w:t>下</w:t>
      </w:r>
      <w:r>
        <w:rPr>
          <w:rFonts w:cs="Times New Roman"/>
        </w:rPr>
        <w:t>表</w:t>
      </w:r>
      <w:r>
        <w:rPr>
          <w:rFonts w:hint="eastAsia" w:cs="Times New Roman"/>
        </w:rPr>
        <w:t>2</w:t>
      </w:r>
      <w:r>
        <w:rPr>
          <w:rFonts w:cs="Times New Roman"/>
        </w:rPr>
        <w:t>。2019年之后，江浙地区提出产业升级，相关氟新材料产业项目不断外移，</w:t>
      </w:r>
      <w:r>
        <w:rPr>
          <w:rFonts w:cs="Times New Roman"/>
          <w:szCs w:val="28"/>
        </w:rPr>
        <w:t>亟需</w:t>
      </w:r>
      <w:r>
        <w:rPr>
          <w:rFonts w:cs="Times New Roman"/>
        </w:rPr>
        <w:t>工业园区承接相关产业及产业转型升级的企业。</w:t>
      </w:r>
    </w:p>
    <w:p>
      <w:pPr>
        <w:pageBreakBefore/>
        <w:spacing w:line="320" w:lineRule="exact"/>
        <w:ind w:firstLine="480"/>
        <w:jc w:val="center"/>
        <w:rPr>
          <w:rFonts w:cs="Times New Roman"/>
          <w:sz w:val="24"/>
          <w:szCs w:val="24"/>
        </w:rPr>
      </w:pPr>
      <w:r>
        <w:rPr>
          <w:rFonts w:cs="Times New Roman"/>
          <w:sz w:val="24"/>
          <w:szCs w:val="24"/>
        </w:rPr>
        <w:t>表</w:t>
      </w:r>
      <w:r>
        <w:rPr>
          <w:rFonts w:hint="eastAsia" w:cs="Times New Roman"/>
          <w:sz w:val="24"/>
          <w:szCs w:val="24"/>
        </w:rPr>
        <w:t>2</w:t>
      </w:r>
      <w:r>
        <w:rPr>
          <w:rFonts w:cs="Times New Roman"/>
          <w:sz w:val="24"/>
          <w:szCs w:val="24"/>
        </w:rPr>
        <w:t xml:space="preserve">  有意向企业一览表</w:t>
      </w:r>
    </w:p>
    <w:tbl>
      <w:tblPr>
        <w:tblStyle w:val="14"/>
        <w:tblpPr w:leftFromText="180" w:rightFromText="180" w:vertAnchor="text" w:horzAnchor="page" w:tblpX="1908" w:tblpY="282"/>
        <w:tblOverlap w:val="never"/>
        <w:tblW w:w="7776" w:type="dxa"/>
        <w:jc w:val="center"/>
        <w:tblLayout w:type="fixed"/>
        <w:tblCellMar>
          <w:top w:w="0" w:type="dxa"/>
          <w:left w:w="0" w:type="dxa"/>
          <w:bottom w:w="0" w:type="dxa"/>
          <w:right w:w="0" w:type="dxa"/>
        </w:tblCellMar>
      </w:tblPr>
      <w:tblGrid>
        <w:gridCol w:w="543"/>
        <w:gridCol w:w="607"/>
        <w:gridCol w:w="5202"/>
        <w:gridCol w:w="1424"/>
      </w:tblGrid>
      <w:tr>
        <w:trPr>
          <w:trHeight w:val="260" w:hRule="atLeast"/>
          <w:jc w:val="center"/>
        </w:trPr>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类型</w:t>
            </w: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序号</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项目名称</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投资额</w:t>
            </w:r>
          </w:p>
        </w:tc>
      </w:tr>
      <w:tr>
        <w:trPr>
          <w:trHeight w:val="260" w:hRule="atLeast"/>
          <w:jc w:val="center"/>
        </w:trPr>
        <w:tc>
          <w:tcPr>
            <w:tcW w:w="54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工业</w:t>
            </w:r>
          </w:p>
          <w:p>
            <w:pPr>
              <w:spacing w:line="240" w:lineRule="exact"/>
              <w:ind w:firstLine="0" w:firstLineChars="0"/>
              <w:jc w:val="center"/>
              <w:rPr>
                <w:rFonts w:cs="Times New Roman"/>
                <w:sz w:val="24"/>
                <w:szCs w:val="24"/>
              </w:rPr>
            </w:pPr>
            <w:r>
              <w:rPr>
                <w:rFonts w:cs="Times New Roman"/>
                <w:sz w:val="24"/>
                <w:szCs w:val="24"/>
              </w:rPr>
              <w:t>项目</w:t>
            </w: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1</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台氟科技股份有限公司含氟精细化工项目</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15亿元</w:t>
            </w:r>
          </w:p>
        </w:tc>
      </w:tr>
      <w:tr>
        <w:trPr>
          <w:trHeight w:val="494"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2</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安辰新能源科技有限公司超纯微电子新材料和六氟磷酸锂等项目</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10亿元</w:t>
            </w:r>
          </w:p>
        </w:tc>
      </w:tr>
      <w:tr>
        <w:trPr>
          <w:trHeight w:val="26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3</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年产6000吨有机胺中间体及特种助剂项目</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5亿元</w:t>
            </w:r>
          </w:p>
        </w:tc>
      </w:tr>
      <w:tr>
        <w:trPr>
          <w:trHeight w:val="26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4</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hint="eastAsia" w:cs="Times New Roman"/>
                <w:sz w:val="24"/>
                <w:szCs w:val="24"/>
              </w:rPr>
              <w:t>福建</w:t>
            </w:r>
            <w:r>
              <w:rPr>
                <w:rFonts w:cs="Times New Roman"/>
                <w:sz w:val="24"/>
                <w:szCs w:val="24"/>
              </w:rPr>
              <w:t>研一氟化工项目</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10亿元</w:t>
            </w:r>
          </w:p>
        </w:tc>
      </w:tr>
      <w:tr>
        <w:trPr>
          <w:trHeight w:val="26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5</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系列气体项目</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10亿元</w:t>
            </w:r>
          </w:p>
        </w:tc>
      </w:tr>
      <w:tr>
        <w:trPr>
          <w:trHeight w:val="269"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6</w:t>
            </w:r>
          </w:p>
        </w:tc>
        <w:tc>
          <w:tcPr>
            <w:tcW w:w="5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安美医药项目</w:t>
            </w:r>
          </w:p>
        </w:tc>
        <w:tc>
          <w:tcPr>
            <w:tcW w:w="1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0" w:firstLineChars="0"/>
              <w:jc w:val="center"/>
              <w:rPr>
                <w:rFonts w:cs="Times New Roman"/>
                <w:sz w:val="24"/>
                <w:szCs w:val="24"/>
              </w:rPr>
            </w:pPr>
            <w:r>
              <w:rPr>
                <w:rFonts w:cs="Times New Roman"/>
                <w:sz w:val="24"/>
                <w:szCs w:val="24"/>
              </w:rPr>
              <w:t>5亿元</w:t>
            </w:r>
          </w:p>
        </w:tc>
      </w:tr>
    </w:tbl>
    <w:p>
      <w:pPr>
        <w:ind w:firstLine="560"/>
        <w:rPr>
          <w:rFonts w:cs="Times New Roman"/>
        </w:rPr>
      </w:pPr>
      <w:r>
        <w:rPr>
          <w:rFonts w:cs="Times New Roman"/>
        </w:rPr>
        <w:t>为了妥善安置这些项目入驻，亟需有专业园区容纳这些产业项目建设。</w:t>
      </w:r>
    </w:p>
    <w:p>
      <w:pPr>
        <w:pStyle w:val="3"/>
        <w:ind w:firstLine="643"/>
      </w:pPr>
      <w:bookmarkStart w:id="79" w:name="_Toc21316_WPSOffice_Level1"/>
      <w:bookmarkStart w:id="80" w:name="_Toc15360_WPSOffice_Level1"/>
      <w:bookmarkStart w:id="81" w:name="_Toc23564"/>
      <w:bookmarkStart w:id="82" w:name="_Toc331_WPSOffice_Level1"/>
      <w:bookmarkStart w:id="83" w:name="_Toc1111_WPSOffice_Level1"/>
      <w:bookmarkStart w:id="84" w:name="_Toc3447"/>
      <w:bookmarkStart w:id="85" w:name="_Toc32517"/>
      <w:r>
        <w:rPr>
          <w:rFonts w:hint="eastAsia"/>
        </w:rPr>
        <w:t>主要用途、实现功能</w:t>
      </w:r>
      <w:bookmarkEnd w:id="79"/>
      <w:bookmarkEnd w:id="80"/>
      <w:bookmarkEnd w:id="81"/>
      <w:bookmarkEnd w:id="82"/>
      <w:bookmarkEnd w:id="83"/>
      <w:bookmarkEnd w:id="84"/>
      <w:r>
        <w:rPr>
          <w:rFonts w:hint="eastAsia"/>
        </w:rPr>
        <w:t>及公益性用地比例</w:t>
      </w:r>
      <w:bookmarkEnd w:id="85"/>
    </w:p>
    <w:p>
      <w:pPr>
        <w:ind w:firstLine="560"/>
        <w:rPr>
          <w:rFonts w:cs="Times New Roman"/>
          <w:color w:val="FF0000"/>
          <w:szCs w:val="28"/>
        </w:rPr>
      </w:pPr>
      <w:r>
        <w:rPr>
          <w:rFonts w:cs="Times New Roman"/>
        </w:rPr>
        <w:t>本方案用地总面积</w:t>
      </w:r>
      <w:r>
        <w:rPr>
          <w:rFonts w:hint="eastAsia" w:cs="Times New Roman"/>
        </w:rPr>
        <w:t>149.0845</w:t>
      </w:r>
      <w:r>
        <w:rPr>
          <w:rFonts w:cs="Times New Roman"/>
        </w:rPr>
        <w:t>公顷，</w:t>
      </w:r>
      <w:r>
        <w:rPr>
          <w:rFonts w:hint="eastAsia" w:cs="Times New Roman"/>
        </w:rPr>
        <w:t>根据</w:t>
      </w:r>
      <w:r>
        <w:rPr>
          <w:rFonts w:cs="Times New Roman"/>
          <w:szCs w:val="28"/>
        </w:rPr>
        <w:t>《三明吉口循环经济产业园控制性详细规划》</w:t>
      </w:r>
      <w:r>
        <w:rPr>
          <w:rFonts w:hint="eastAsia" w:cs="Times New Roman"/>
          <w:szCs w:val="28"/>
        </w:rPr>
        <w:t>，</w:t>
      </w:r>
      <w:r>
        <w:rPr>
          <w:rFonts w:cs="Times New Roman"/>
        </w:rPr>
        <w:t>主要用途为</w:t>
      </w:r>
      <w:r>
        <w:rPr>
          <w:rFonts w:hint="eastAsia" w:cs="Times New Roman"/>
        </w:rPr>
        <w:t>工矿用地，占比为59.38%；交通运输用地，占比为8.34%；公用设施用地，占比为4.76%；绿地与开敞空间用地，占比为27.29%</w:t>
      </w:r>
      <w:r>
        <w:rPr>
          <w:rFonts w:cs="Times New Roman"/>
        </w:rPr>
        <w:t>。</w:t>
      </w:r>
      <w:r>
        <w:rPr>
          <w:rFonts w:hint="eastAsia" w:cs="Times New Roman"/>
        </w:rPr>
        <w:t>具体情况如下：</w:t>
      </w:r>
    </w:p>
    <w:p>
      <w:pPr>
        <w:ind w:firstLine="560"/>
        <w:rPr>
          <w:rFonts w:cs="Times New Roman"/>
        </w:rPr>
      </w:pPr>
      <w:r>
        <w:rPr>
          <w:rFonts w:hint="eastAsia" w:cs="Times New Roman"/>
        </w:rPr>
        <w:t>工矿用地用途面积88.5130公顷，主要为工业用地，</w:t>
      </w:r>
      <w:r>
        <w:rPr>
          <w:rFonts w:cs="Times New Roman"/>
        </w:rPr>
        <w:t>充分发挥福建三化元福新材料有限公司有机氟、台氟含氟精细化工、</w:t>
      </w:r>
      <w:r>
        <w:rPr>
          <w:rFonts w:hint="eastAsia" w:cs="Times New Roman"/>
        </w:rPr>
        <w:t>福建</w:t>
      </w:r>
      <w:r>
        <w:rPr>
          <w:rFonts w:cs="Times New Roman"/>
        </w:rPr>
        <w:t>研一氟化工等项目的辐射带动作用，</w:t>
      </w:r>
      <w:r>
        <w:rPr>
          <w:rFonts w:hint="eastAsia" w:cs="Times New Roman"/>
        </w:rPr>
        <w:t>实现</w:t>
      </w:r>
      <w:r>
        <w:rPr>
          <w:rFonts w:cs="Times New Roman"/>
        </w:rPr>
        <w:t>新能源、新材料、环保材料等的产业化</w:t>
      </w:r>
      <w:r>
        <w:rPr>
          <w:rFonts w:hint="eastAsia" w:cs="Times New Roman"/>
        </w:rPr>
        <w:t>，</w:t>
      </w:r>
      <w:r>
        <w:rPr>
          <w:rFonts w:cs="Times New Roman"/>
        </w:rPr>
        <w:t>推动产业链条延伸</w:t>
      </w:r>
      <w:r>
        <w:rPr>
          <w:rFonts w:hint="eastAsia" w:cs="Times New Roman"/>
        </w:rPr>
        <w:t>的功能；绿地与开敞空间用地用途面积40.6855公顷，其中公园绿地用途面积9.2874公顷，实现净化空气，减少公害的功能，防护绿地用途面积31.3981公顷，实现隔离</w:t>
      </w:r>
      <w:r>
        <w:rPr>
          <w:rFonts w:cs="Times New Roman"/>
        </w:rPr>
        <w:t>防护</w:t>
      </w:r>
      <w:r>
        <w:rPr>
          <w:rFonts w:hint="eastAsia" w:cs="Times New Roman"/>
        </w:rPr>
        <w:t>功能</w:t>
      </w:r>
      <w:r>
        <w:rPr>
          <w:rFonts w:cs="Times New Roman"/>
        </w:rPr>
        <w:t>，在园区形成天然生态保护屏障</w:t>
      </w:r>
      <w:r>
        <w:rPr>
          <w:rFonts w:hint="eastAsia" w:cs="Times New Roman"/>
        </w:rPr>
        <w:t>，同时作为生态景观廊道的功能；公用设施用地用途，面积7.0985公顷，分别为排水用地6.9477公顷、环卫用地0.1508公顷，主要为规划区中部污水处理厂和垃圾转运站，实现满足园区公共服务设施需求的功能；交通运输用地用途面积12.4382公顷，分别为交通场站用地3.3603公顷、城镇道路用地9.0779公顷，实现提供道路交通及停车服务功能；陆地水域用途面积为0.3493公顷，主要为沟渠，实现道路旁边排水功能。</w:t>
      </w:r>
    </w:p>
    <w:p>
      <w:pPr>
        <w:ind w:firstLine="560"/>
        <w:rPr>
          <w:rFonts w:cs="Times New Roman"/>
        </w:rPr>
      </w:pPr>
      <w:r>
        <w:rPr>
          <w:rFonts w:hint="eastAsia" w:cs="Times New Roman"/>
        </w:rPr>
        <w:t>绿地与开敞空间用地用途、公用设施用地用途、交通运输用地用途</w:t>
      </w:r>
      <w:r>
        <w:rPr>
          <w:rFonts w:cs="Times New Roman"/>
        </w:rPr>
        <w:t>属于公益性用地，合计</w:t>
      </w:r>
      <w:r>
        <w:rPr>
          <w:rFonts w:hint="eastAsia" w:cs="Times New Roman"/>
        </w:rPr>
        <w:t>60.2222</w:t>
      </w:r>
      <w:r>
        <w:rPr>
          <w:rFonts w:cs="Times New Roman"/>
        </w:rPr>
        <w:t>公顷，占用地总面积</w:t>
      </w:r>
      <w:r>
        <w:rPr>
          <w:rFonts w:hint="eastAsia" w:cs="Times New Roman"/>
        </w:rPr>
        <w:t>的40.39</w:t>
      </w:r>
      <w:r>
        <w:rPr>
          <w:rFonts w:cs="Times New Roman"/>
        </w:rPr>
        <w:t>%，符合自然资规〔2020〕5号文规定。</w:t>
      </w:r>
    </w:p>
    <w:p>
      <w:pPr>
        <w:pStyle w:val="3"/>
        <w:ind w:firstLine="643"/>
      </w:pPr>
      <w:bookmarkStart w:id="86" w:name="_Toc388"/>
      <w:r>
        <w:rPr>
          <w:rFonts w:hint="eastAsia"/>
        </w:rPr>
        <w:t>拟建项目及</w:t>
      </w:r>
      <w:r>
        <w:t>实施计划</w:t>
      </w:r>
      <w:bookmarkEnd w:id="86"/>
    </w:p>
    <w:p>
      <w:pPr>
        <w:ind w:firstLine="560"/>
      </w:pPr>
      <w:r>
        <w:rPr>
          <w:rFonts w:hint="eastAsia"/>
        </w:rPr>
        <w:t>本</w:t>
      </w:r>
      <w:r>
        <w:t>方案</w:t>
      </w:r>
      <w:r>
        <w:rPr>
          <w:rFonts w:hint="eastAsia"/>
        </w:rPr>
        <w:t>用地总面积</w:t>
      </w:r>
      <w:r>
        <w:rPr>
          <w:rFonts w:hint="eastAsia" w:cs="Times New Roman"/>
        </w:rPr>
        <w:t>149.0845</w:t>
      </w:r>
      <w:r>
        <w:rPr>
          <w:rFonts w:hint="eastAsia"/>
        </w:rPr>
        <w:t>公顷，其中涉及的存量用地面积为</w:t>
      </w:r>
      <w:r>
        <w:rPr>
          <w:rFonts w:hint="eastAsia"/>
          <w:lang w:val="en-US" w:eastAsia="zh-CN"/>
        </w:rPr>
        <w:t>14.3148</w:t>
      </w:r>
      <w:r>
        <w:rPr>
          <w:rFonts w:hint="eastAsia"/>
        </w:rPr>
        <w:t>公顷</w:t>
      </w:r>
      <w:r>
        <w:rPr>
          <w:rFonts w:hint="eastAsia"/>
          <w:lang w:eastAsia="zh-CN"/>
        </w:rPr>
        <w:t>，</w:t>
      </w:r>
      <w:r>
        <w:rPr>
          <w:rFonts w:hint="eastAsia"/>
        </w:rPr>
        <w:t>故</w:t>
      </w:r>
      <w:r>
        <w:t>拟安排实施项目面积</w:t>
      </w:r>
      <w:r>
        <w:rPr>
          <w:rFonts w:hint="eastAsia"/>
        </w:rPr>
        <w:t>134.7697</w:t>
      </w:r>
      <w:r>
        <w:t>公顷，计划实施周期为20</w:t>
      </w:r>
      <w:r>
        <w:rPr>
          <w:rFonts w:hint="eastAsia"/>
        </w:rPr>
        <w:t>21</w:t>
      </w:r>
      <w:r>
        <w:t>年-20</w:t>
      </w:r>
      <w:r>
        <w:rPr>
          <w:rFonts w:hint="eastAsia"/>
        </w:rPr>
        <w:t>23</w:t>
      </w:r>
      <w:r>
        <w:t>年，</w:t>
      </w:r>
      <w:r>
        <w:rPr>
          <w:rFonts w:hint="eastAsia"/>
        </w:rPr>
        <w:t>3</w:t>
      </w:r>
      <w:r>
        <w:t>年内实施完毕，其中：20</w:t>
      </w:r>
      <w:r>
        <w:rPr>
          <w:rFonts w:hint="eastAsia"/>
        </w:rPr>
        <w:t>21</w:t>
      </w:r>
      <w:r>
        <w:t>年实施面积</w:t>
      </w:r>
      <w:r>
        <w:rPr>
          <w:rFonts w:hint="eastAsia"/>
        </w:rPr>
        <w:t>36.5519</w:t>
      </w:r>
      <w:r>
        <w:t>公顷</w:t>
      </w:r>
      <w:r>
        <w:rPr>
          <w:rFonts w:hint="eastAsia"/>
        </w:rPr>
        <w:t>，主要为氟精细化工（一期）项目、超纯微电子新材料和六氟磷酸锂项目、年产6000吨有机胺中间体及含氟特种助剂项目等项目，</w:t>
      </w:r>
      <w:r>
        <w:t>完成比例</w:t>
      </w:r>
      <w:r>
        <w:rPr>
          <w:rFonts w:hint="eastAsia"/>
        </w:rPr>
        <w:t>27.12</w:t>
      </w:r>
      <w:r>
        <w:t>%；20</w:t>
      </w:r>
      <w:r>
        <w:rPr>
          <w:rFonts w:hint="eastAsia"/>
        </w:rPr>
        <w:t>22</w:t>
      </w:r>
      <w:r>
        <w:t>年实施面积</w:t>
      </w:r>
      <w:r>
        <w:rPr>
          <w:rFonts w:hint="eastAsia"/>
        </w:rPr>
        <w:t>39.3702</w:t>
      </w:r>
      <w:r>
        <w:t>公顷</w:t>
      </w:r>
      <w:r>
        <w:rPr>
          <w:rFonts w:hint="eastAsia"/>
        </w:rPr>
        <w:t>，主要为和立气体项目、氟精细化工（二期）项目等项目，</w:t>
      </w:r>
      <w:r>
        <w:t>完成比例</w:t>
      </w:r>
      <w:r>
        <w:rPr>
          <w:rFonts w:hint="eastAsia"/>
        </w:rPr>
        <w:t>29.21</w:t>
      </w:r>
      <w:r>
        <w:t>%</w:t>
      </w:r>
      <w:r>
        <w:rPr>
          <w:rFonts w:hint="eastAsia"/>
        </w:rPr>
        <w:t>；</w:t>
      </w:r>
      <w:r>
        <w:t>20</w:t>
      </w:r>
      <w:r>
        <w:rPr>
          <w:rFonts w:hint="eastAsia"/>
        </w:rPr>
        <w:t>23</w:t>
      </w:r>
      <w:r>
        <w:t>年实施面积</w:t>
      </w:r>
      <w:r>
        <w:rPr>
          <w:rFonts w:hint="eastAsia"/>
        </w:rPr>
        <w:t>58.8476</w:t>
      </w:r>
      <w:r>
        <w:t>公顷</w:t>
      </w:r>
      <w:r>
        <w:rPr>
          <w:rFonts w:hint="eastAsia"/>
        </w:rPr>
        <w:t>，主要为氟新型先导材料项目等项目，</w:t>
      </w:r>
      <w:r>
        <w:t>完成比例</w:t>
      </w:r>
      <w:r>
        <w:rPr>
          <w:rFonts w:hint="eastAsia"/>
        </w:rPr>
        <w:t>43.67</w:t>
      </w:r>
      <w:r>
        <w:t>%。</w:t>
      </w:r>
    </w:p>
    <w:p>
      <w:pPr>
        <w:pStyle w:val="3"/>
        <w:ind w:firstLine="643"/>
      </w:pPr>
      <w:bookmarkStart w:id="87" w:name="_Toc6820"/>
      <w:bookmarkStart w:id="88" w:name="_Toc29713"/>
      <w:bookmarkStart w:id="89" w:name="_Toc18885_WPSOffice_Level1"/>
      <w:bookmarkStart w:id="90" w:name="_Toc7146_WPSOffice_Level1"/>
      <w:bookmarkStart w:id="91" w:name="_Toc23172_WPSOffice_Level1"/>
      <w:bookmarkStart w:id="92" w:name="_Toc4091"/>
      <w:bookmarkStart w:id="93" w:name="_Toc22559_WPSOffice_Level1"/>
      <w:bookmarkStart w:id="94" w:name="_Toc24065_WPSOffice_Level1"/>
      <w:bookmarkStart w:id="95" w:name="_Toc27316"/>
      <w:bookmarkStart w:id="96" w:name="_Toc18107"/>
      <w:bookmarkStart w:id="97" w:name="_Toc14408_WPSOffice_Level1"/>
      <w:bookmarkStart w:id="98" w:name="_Toc3296_WPSOffice_Level1"/>
      <w:bookmarkStart w:id="99" w:name="_Toc11074"/>
      <w:bookmarkStart w:id="100" w:name="_Toc11194_WPSOffice_Level1"/>
      <w:bookmarkStart w:id="101" w:name="_Toc5311"/>
      <w:bookmarkStart w:id="102" w:name="_Toc6436"/>
      <w:bookmarkStart w:id="103" w:name="_Toc23785"/>
      <w:bookmarkStart w:id="104" w:name="_Toc4579"/>
      <w:bookmarkStart w:id="105" w:name="_Toc23804"/>
      <w:r>
        <w:t>合规性分析</w:t>
      </w:r>
      <w:bookmarkEnd w:id="87"/>
      <w:bookmarkEnd w:id="88"/>
      <w:bookmarkEnd w:id="89"/>
      <w:bookmarkEnd w:id="90"/>
      <w:bookmarkEnd w:id="91"/>
      <w:bookmarkEnd w:id="92"/>
      <w:bookmarkEnd w:id="93"/>
    </w:p>
    <w:p>
      <w:pPr>
        <w:pStyle w:val="4"/>
        <w:ind w:firstLine="602"/>
      </w:pPr>
      <w:bookmarkStart w:id="106" w:name="_Toc26649"/>
      <w:bookmarkStart w:id="107" w:name="_Toc17355"/>
      <w:bookmarkStart w:id="108" w:name="_Toc29821"/>
      <w:bookmarkStart w:id="109" w:name="_Toc16030"/>
      <w:r>
        <w:rPr>
          <w:rFonts w:cs="Times New Roman"/>
        </w:rPr>
        <w:t>（一）</w:t>
      </w:r>
      <w:r>
        <w:rPr>
          <w:rFonts w:hint="eastAsia" w:cs="Times New Roman"/>
        </w:rPr>
        <w:t>国土空间规划</w:t>
      </w:r>
      <w:bookmarkEnd w:id="106"/>
    </w:p>
    <w:p>
      <w:pPr>
        <w:ind w:firstLine="560"/>
        <w:rPr>
          <w:rFonts w:cs="Times New Roman"/>
        </w:rPr>
      </w:pPr>
      <w:r>
        <w:rPr>
          <w:rFonts w:cs="Times New Roman"/>
        </w:rPr>
        <w:t>根据《</w:t>
      </w:r>
      <w:r>
        <w:rPr>
          <w:rFonts w:hint="eastAsia" w:cs="Times New Roman"/>
        </w:rPr>
        <w:t>三元区土地利用总体规划</w:t>
      </w:r>
      <w:r>
        <w:rPr>
          <w:rFonts w:cs="Times New Roman"/>
        </w:rPr>
        <w:t>（2006-2020）</w:t>
      </w:r>
      <w:r>
        <w:rPr>
          <w:rFonts w:hint="eastAsia" w:cs="Times New Roman"/>
          <w:lang w:eastAsia="zh-CN"/>
        </w:rPr>
        <w:t>调整方案</w:t>
      </w:r>
      <w:r>
        <w:rPr>
          <w:rFonts w:cs="Times New Roman"/>
        </w:rPr>
        <w:t>》，三明吉口循环经济产业园位于土地利用总体规划确定的允许建设区范围内，未在限制建设区和禁止建设区范围内。因此</w:t>
      </w:r>
      <w:r>
        <w:rPr>
          <w:rFonts w:hint="eastAsia" w:cs="Times New Roman"/>
        </w:rPr>
        <w:t>，</w:t>
      </w:r>
      <w:r>
        <w:rPr>
          <w:rFonts w:cs="Times New Roman"/>
        </w:rPr>
        <w:t>三明吉口循环经济产业园的建设符合土地利用总体规划。</w:t>
      </w:r>
    </w:p>
    <w:p>
      <w:pPr>
        <w:ind w:firstLine="560"/>
      </w:pPr>
      <w:r>
        <w:t>根据《三明市城市总体规划（2010-2030）》第十章中心城区工业、物流仓储用地规划，三明吉口循环经济产业园位于工业用地规划中三明经济开发区范围内，产业定位是发展矿产深加工，同时承接城区的产业转移为主。三明吉口循环经济产业园在产业定位和用地性质上符合《三明市城市总体规划（2010-2030）》</w:t>
      </w:r>
      <w:r>
        <w:rPr>
          <w:rFonts w:hint="eastAsia"/>
        </w:rPr>
        <w:t>。</w:t>
      </w:r>
    </w:p>
    <w:p>
      <w:pPr>
        <w:ind w:firstLine="560"/>
        <w:rPr>
          <w:rFonts w:cs="Times New Roman"/>
          <w:szCs w:val="28"/>
        </w:rPr>
      </w:pPr>
      <w:r>
        <w:rPr>
          <w:rFonts w:hint="eastAsia"/>
        </w:rPr>
        <w:t>三明吉口循环经济产业园位于《三明经济开发区产业发展规划（2014-2030）》用地范围的中部含氟新材料产业片区，园区在主要用地性质上符合《三明经济开发区产业发展规划（2014-2030）》；三明吉口循环经济产业园已完成</w:t>
      </w:r>
      <w:r>
        <w:rPr>
          <w:rFonts w:cs="Times New Roman"/>
          <w:szCs w:val="28"/>
        </w:rPr>
        <w:t>控制性</w:t>
      </w:r>
      <w:r>
        <w:rPr>
          <w:rFonts w:hint="eastAsia"/>
        </w:rPr>
        <w:t>详细规划，</w:t>
      </w:r>
      <w:r>
        <w:rPr>
          <w:rFonts w:cs="Times New Roman"/>
        </w:rPr>
        <w:t>2018年9月</w:t>
      </w:r>
      <w:r>
        <w:rPr>
          <w:rFonts w:hint="eastAsia" w:cs="Times New Roman"/>
        </w:rPr>
        <w:t>已通过三明市人民政府的批复，详见附件</w:t>
      </w:r>
      <w:r>
        <w:rPr>
          <w:rFonts w:cs="Times New Roman"/>
        </w:rPr>
        <w:t>《三明市人民政府关于三明吉口循环经济产业园控制性详细规划的批复》（明政函〔2018〕91号），</w:t>
      </w:r>
      <w:r>
        <w:rPr>
          <w:rFonts w:hint="eastAsia"/>
        </w:rPr>
        <w:t>三明吉口循环经济产业园</w:t>
      </w:r>
      <w:r>
        <w:rPr>
          <w:rFonts w:cs="Times New Roman"/>
          <w:szCs w:val="28"/>
        </w:rPr>
        <w:t>在</w:t>
      </w:r>
      <w:r>
        <w:rPr>
          <w:rFonts w:cs="Times New Roman"/>
        </w:rPr>
        <w:t>产业定位和用地性质</w:t>
      </w:r>
      <w:r>
        <w:rPr>
          <w:rFonts w:cs="Times New Roman"/>
          <w:szCs w:val="28"/>
        </w:rPr>
        <w:t>上符合《三明吉口循环经济产业园控制性详细规划》</w:t>
      </w:r>
      <w:r>
        <w:rPr>
          <w:rFonts w:hint="eastAsia" w:cs="Times New Roman"/>
          <w:szCs w:val="28"/>
        </w:rPr>
        <w:t>。</w:t>
      </w:r>
    </w:p>
    <w:p>
      <w:pPr>
        <w:ind w:firstLine="560"/>
      </w:pPr>
      <w:r>
        <w:rPr>
          <w:rFonts w:hint="eastAsia"/>
        </w:rPr>
        <w:t>三明市人民政府</w:t>
      </w:r>
      <w:r>
        <w:t>承诺方案获批后，土地征收成片开发范围纳入国土空间规划确定的城镇开发边界内的集中建设区，并符合规划管控要求。</w:t>
      </w:r>
    </w:p>
    <w:p>
      <w:pPr>
        <w:pStyle w:val="4"/>
        <w:ind w:firstLine="602"/>
        <w:rPr>
          <w:rFonts w:cs="Times New Roman"/>
        </w:rPr>
      </w:pPr>
      <w:bookmarkStart w:id="110" w:name="_Toc1327"/>
      <w:r>
        <w:rPr>
          <w:rFonts w:hint="eastAsia" w:cs="Times New Roman"/>
        </w:rPr>
        <w:t>（二）</w:t>
      </w:r>
      <w:r>
        <w:rPr>
          <w:rFonts w:cs="Times New Roman"/>
        </w:rPr>
        <w:t>国民经济和社会发展规划</w:t>
      </w:r>
      <w:bookmarkEnd w:id="107"/>
      <w:bookmarkEnd w:id="108"/>
      <w:r>
        <w:rPr>
          <w:rFonts w:cs="Times New Roman"/>
        </w:rPr>
        <w:t>、</w:t>
      </w:r>
      <w:r>
        <w:rPr>
          <w:rFonts w:hint="eastAsia" w:cs="Times New Roman"/>
        </w:rPr>
        <w:t>年度</w:t>
      </w:r>
      <w:r>
        <w:rPr>
          <w:rFonts w:cs="Times New Roman"/>
        </w:rPr>
        <w:t>计划</w:t>
      </w:r>
      <w:bookmarkEnd w:id="110"/>
    </w:p>
    <w:p>
      <w:pPr>
        <w:ind w:firstLine="560"/>
        <w:rPr>
          <w:rFonts w:cs="Times New Roman"/>
          <w:szCs w:val="28"/>
        </w:rPr>
      </w:pPr>
      <w:r>
        <w:rPr>
          <w:rFonts w:cs="Times New Roman"/>
          <w:szCs w:val="28"/>
        </w:rPr>
        <w:t>《三明市国民经济和社会发展第十三个五年规划纲要》第二章第二节针对培育壮大新兴产业指出立足产业基础和潜在优势，加快突破技术链、价值链和产业链关键环节，大力发展新材料等新兴产业，同时还强调发展氟新材料，突出三元等专业园区建设，以氟新材料为主的三明吉口循环经济产业园符合《三明市国民经济和社会发展第十三个五年规划纲要》。</w:t>
      </w:r>
    </w:p>
    <w:p>
      <w:pPr>
        <w:ind w:firstLine="560"/>
        <w:rPr>
          <w:rFonts w:cs="Times New Roman"/>
        </w:rPr>
      </w:pPr>
      <w:r>
        <w:rPr>
          <w:rFonts w:cs="Times New Roman"/>
        </w:rPr>
        <w:t>福建省工业和信息化厅、省发展和改革委员会、省生态环境厅、省自然资源厅联合出台《关于促进福建省氟化工产业绿色高效发展的若干意见》（简称《意见》），《意见》中三明吉口循环经济产业园被省上列为重点支持发展的氟化工专业园区。三明市人民政府已下发</w:t>
      </w:r>
      <w:r>
        <w:rPr>
          <w:rFonts w:cs="Times New Roman"/>
          <w:szCs w:val="28"/>
        </w:rPr>
        <w:t>《三明市人民政府关于设立三明吉口循环经济产业园的批复》（明政函〔2018〕60号）的文件。根据《关于</w:t>
      </w:r>
      <w:r>
        <w:rPr>
          <w:rFonts w:hint="eastAsia" w:cs="Times New Roman"/>
          <w:szCs w:val="28"/>
        </w:rPr>
        <w:t>三明市</w:t>
      </w:r>
      <w:r>
        <w:rPr>
          <w:rFonts w:cs="Times New Roman"/>
          <w:szCs w:val="28"/>
        </w:rPr>
        <w:t>20</w:t>
      </w:r>
      <w:r>
        <w:rPr>
          <w:rFonts w:hint="eastAsia" w:cs="Times New Roman"/>
          <w:szCs w:val="28"/>
        </w:rPr>
        <w:t>20</w:t>
      </w:r>
      <w:r>
        <w:rPr>
          <w:rFonts w:cs="Times New Roman"/>
          <w:szCs w:val="28"/>
        </w:rPr>
        <w:t>年国民经济和社会发展计划执行情况与202</w:t>
      </w:r>
      <w:r>
        <w:rPr>
          <w:rFonts w:hint="eastAsia" w:cs="Times New Roman"/>
          <w:szCs w:val="28"/>
        </w:rPr>
        <w:t>1</w:t>
      </w:r>
      <w:r>
        <w:rPr>
          <w:rFonts w:cs="Times New Roman"/>
          <w:szCs w:val="28"/>
        </w:rPr>
        <w:t>年国民经济和社会发展计划草案的报告》</w:t>
      </w:r>
      <w:r>
        <w:rPr>
          <w:rFonts w:hint="eastAsia" w:cs="Times New Roman"/>
          <w:szCs w:val="28"/>
        </w:rPr>
        <w:t>，本成片开发方案</w:t>
      </w:r>
      <w:r>
        <w:rPr>
          <w:rFonts w:cs="Times New Roman"/>
          <w:szCs w:val="28"/>
        </w:rPr>
        <w:t>已</w:t>
      </w:r>
      <w:r>
        <w:rPr>
          <w:rFonts w:cs="Times New Roman"/>
        </w:rPr>
        <w:t>纳入当地国民经济和社会发展年度计划。</w:t>
      </w:r>
    </w:p>
    <w:bookmarkEnd w:id="109"/>
    <w:p>
      <w:pPr>
        <w:pStyle w:val="4"/>
        <w:ind w:firstLine="602"/>
        <w:rPr>
          <w:rFonts w:cs="Times New Roman"/>
        </w:rPr>
      </w:pPr>
      <w:bookmarkStart w:id="111" w:name="_Toc1244"/>
      <w:bookmarkStart w:id="112" w:name="_Toc27808"/>
      <w:bookmarkStart w:id="113" w:name="_Toc24998"/>
      <w:bookmarkStart w:id="114" w:name="_Toc28090"/>
      <w:r>
        <w:rPr>
          <w:rFonts w:cs="Times New Roman"/>
        </w:rPr>
        <w:t>（</w:t>
      </w:r>
      <w:r>
        <w:rPr>
          <w:rFonts w:hint="eastAsia" w:cs="Times New Roman"/>
        </w:rPr>
        <w:t>三</w:t>
      </w:r>
      <w:r>
        <w:rPr>
          <w:rFonts w:cs="Times New Roman"/>
        </w:rPr>
        <w:t>）</w:t>
      </w:r>
      <w:bookmarkEnd w:id="111"/>
      <w:bookmarkEnd w:id="112"/>
      <w:bookmarkEnd w:id="113"/>
      <w:r>
        <w:rPr>
          <w:rFonts w:hint="eastAsia"/>
        </w:rPr>
        <w:t>占用永久基本农田和其他法律法规规定不允许占用或开发的各类需要</w:t>
      </w:r>
      <w:r>
        <w:rPr>
          <w:rFonts w:hint="eastAsia"/>
          <w:lang w:eastAsia="zh-CN"/>
        </w:rPr>
        <w:t>特殊</w:t>
      </w:r>
      <w:r>
        <w:rPr>
          <w:rFonts w:hint="eastAsia"/>
        </w:rPr>
        <w:t>保护的区域</w:t>
      </w:r>
      <w:r>
        <w:rPr>
          <w:rFonts w:hint="eastAsia" w:cs="Times New Roman"/>
        </w:rPr>
        <w:t>情况</w:t>
      </w:r>
      <w:bookmarkEnd w:id="114"/>
    </w:p>
    <w:p>
      <w:pPr>
        <w:ind w:firstLine="560"/>
      </w:pPr>
      <w:r>
        <w:rPr>
          <w:rFonts w:hint="eastAsia" w:cs="Times New Roman"/>
          <w:bCs/>
          <w:color w:val="000000" w:themeColor="text1"/>
          <w14:textFill>
            <w14:solidFill>
              <w14:schemeClr w14:val="tx1"/>
            </w14:solidFill>
          </w14:textFill>
        </w:rPr>
        <w:t>经数据分析及相关部门核实，本方案不涉及占用历史文化名城名镇名村传统村落和文物建筑历史建筑传统风貌建筑和50年以上建筑，不涉及占用生态公益林、自然保护区、饮用水水源保护区等各类保护区，不涉及占用永久基本农田和其他法律法规规定不允许占用或开发的，符合成片开发项目送审报批的要求。</w:t>
      </w:r>
    </w:p>
    <w:p>
      <w:pPr>
        <w:ind w:firstLine="560"/>
      </w:pPr>
      <w:r>
        <w:rPr>
          <w:rFonts w:hint="eastAsia"/>
        </w:rPr>
        <w:t>根据三明市三元区永久基本农田和生态保护红线划定成果，</w:t>
      </w:r>
      <w:r>
        <w:t>成片开发区域范围不</w:t>
      </w:r>
      <w:r>
        <w:rPr>
          <w:rFonts w:hint="eastAsia"/>
        </w:rPr>
        <w:t>涉及占用</w:t>
      </w:r>
      <w:r>
        <w:t>永久基本农田</w:t>
      </w:r>
      <w:r>
        <w:rPr>
          <w:rFonts w:hint="eastAsia"/>
        </w:rPr>
        <w:t>、</w:t>
      </w:r>
      <w:r>
        <w:t>生态保护红线</w:t>
      </w:r>
      <w:r>
        <w:rPr>
          <w:rFonts w:hint="eastAsia"/>
        </w:rPr>
        <w:t>。</w:t>
      </w:r>
    </w:p>
    <w:p>
      <w:pPr>
        <w:ind w:firstLine="560"/>
      </w:pPr>
      <w:r>
        <w:rPr>
          <w:rFonts w:hint="eastAsia"/>
        </w:rPr>
        <w:t>根据福建省人民政府《关于加强历史文化名城名镇名村传统村落和文物建筑历史建筑传统风貌建筑保护利用九条措施的通知》（闽政办〔2020〕53号）要求，经三明市三元区住房和城乡建设局、三元区文体和旅游局、三元区自然资源局核实，三明市三元区2021年度第一批次土地征收成片开发项目（市经济开发区吉口循环经济产业园）的成片开发红线范围内，不涉及历史文化名城名镇名村传统村落和文物建筑、历史建筑、传统风貌建筑，经调查也无50年以上的建筑。</w:t>
      </w:r>
    </w:p>
    <w:p>
      <w:pPr>
        <w:ind w:firstLine="560"/>
      </w:pPr>
      <w:r>
        <w:rPr>
          <w:rFonts w:hint="eastAsia"/>
        </w:rPr>
        <w:t>根据中共中央办公厅、国务院办公厅《关于划定并严守生态保护红线的若干意见的通知》（厅字〔2017〕2号）要求，经三明市三元区自然资源局核实，三明市三元区2021年度第一批次土地征收成片开发项目（市经济开发区吉口循环经济产业园）成片开发红线范围内，不涉及</w:t>
      </w:r>
      <w:r>
        <w:rPr>
          <w:rFonts w:hint="eastAsia" w:cs="Times New Roman"/>
          <w:bCs/>
          <w:color w:val="000000" w:themeColor="text1"/>
          <w14:textFill>
            <w14:solidFill>
              <w14:schemeClr w14:val="tx1"/>
            </w14:solidFill>
          </w14:textFill>
        </w:rPr>
        <w:t>生态公益林、</w:t>
      </w:r>
      <w:r>
        <w:rPr>
          <w:rFonts w:hint="eastAsia"/>
        </w:rPr>
        <w:t>自然保护区、饮用水水源保护区等各类保护区。</w:t>
      </w:r>
    </w:p>
    <w:p>
      <w:pPr>
        <w:pStyle w:val="3"/>
        <w:ind w:firstLine="643"/>
      </w:pPr>
      <w:bookmarkStart w:id="115" w:name="_Toc17441"/>
      <w:r>
        <w:t>效益评估</w:t>
      </w:r>
      <w:bookmarkEnd w:id="94"/>
      <w:bookmarkEnd w:id="95"/>
      <w:bookmarkEnd w:id="96"/>
      <w:bookmarkEnd w:id="97"/>
      <w:bookmarkEnd w:id="98"/>
      <w:bookmarkEnd w:id="99"/>
      <w:bookmarkEnd w:id="100"/>
      <w:bookmarkEnd w:id="101"/>
      <w:bookmarkEnd w:id="102"/>
      <w:bookmarkEnd w:id="103"/>
      <w:bookmarkEnd w:id="104"/>
      <w:bookmarkEnd w:id="105"/>
      <w:bookmarkEnd w:id="115"/>
    </w:p>
    <w:p>
      <w:pPr>
        <w:pStyle w:val="4"/>
        <w:ind w:left="420" w:firstLine="0" w:firstLineChars="0"/>
        <w:rPr>
          <w:rFonts w:cs="Times New Roman"/>
        </w:rPr>
      </w:pPr>
      <w:bookmarkStart w:id="116" w:name="_Toc18370"/>
      <w:bookmarkStart w:id="117" w:name="_Toc25218"/>
      <w:bookmarkStart w:id="118" w:name="_Toc1316"/>
      <w:bookmarkStart w:id="119" w:name="_Toc10050_WPSOffice_Level2"/>
      <w:bookmarkStart w:id="120" w:name="_Toc15340"/>
      <w:bookmarkStart w:id="121" w:name="_Toc17447"/>
      <w:bookmarkStart w:id="122" w:name="_Toc25298_WPSOffice_Level2"/>
      <w:bookmarkStart w:id="123" w:name="_Toc1452"/>
      <w:bookmarkStart w:id="124" w:name="_Toc32340"/>
      <w:bookmarkStart w:id="125" w:name="_Toc7027"/>
      <w:bookmarkStart w:id="126" w:name="_Toc21681_WPSOffice_Level2"/>
      <w:bookmarkStart w:id="127" w:name="_Toc10766"/>
      <w:bookmarkStart w:id="128" w:name="_Toc13385_WPSOffice_Level2"/>
      <w:r>
        <w:rPr>
          <w:rFonts w:hint="eastAsia" w:cs="Times New Roman"/>
        </w:rPr>
        <w:t>（一）</w:t>
      </w:r>
      <w:r>
        <w:rPr>
          <w:rFonts w:cs="Times New Roman"/>
        </w:rPr>
        <w:t>土地利用效益</w:t>
      </w:r>
      <w:bookmarkEnd w:id="116"/>
      <w:bookmarkEnd w:id="117"/>
      <w:bookmarkEnd w:id="118"/>
      <w:bookmarkEnd w:id="119"/>
      <w:bookmarkEnd w:id="120"/>
      <w:bookmarkEnd w:id="121"/>
      <w:bookmarkEnd w:id="122"/>
      <w:bookmarkEnd w:id="123"/>
      <w:bookmarkEnd w:id="124"/>
      <w:bookmarkEnd w:id="125"/>
      <w:bookmarkEnd w:id="126"/>
      <w:bookmarkEnd w:id="127"/>
      <w:bookmarkEnd w:id="128"/>
    </w:p>
    <w:p>
      <w:pPr>
        <w:ind w:firstLine="560"/>
        <w:rPr>
          <w:rFonts w:cs="Times New Roman"/>
          <w:szCs w:val="28"/>
        </w:rPr>
      </w:pPr>
      <w:r>
        <w:rPr>
          <w:rFonts w:cs="Times New Roman"/>
          <w:szCs w:val="28"/>
        </w:rPr>
        <w:t>本项目实施过程</w:t>
      </w:r>
      <w:r>
        <w:rPr>
          <w:rFonts w:hint="eastAsia" w:cs="Times New Roman"/>
          <w:szCs w:val="28"/>
        </w:rPr>
        <w:t>中将严格按照《福建省自然资源厅 福建省商务厅关于严格土地节约集约利用促进开发区高质量发展措施的通知》（闽自然资发</w:t>
      </w:r>
      <w:r>
        <w:t>〔20</w:t>
      </w:r>
      <w:r>
        <w:rPr>
          <w:rFonts w:hint="eastAsia"/>
        </w:rPr>
        <w:t>19</w:t>
      </w:r>
      <w:r>
        <w:t>〕</w:t>
      </w:r>
      <w:r>
        <w:rPr>
          <w:rFonts w:hint="eastAsia"/>
        </w:rPr>
        <w:t>104</w:t>
      </w:r>
      <w:r>
        <w:t>号</w:t>
      </w:r>
      <w:r>
        <w:rPr>
          <w:rFonts w:hint="eastAsia" w:cs="Times New Roman"/>
          <w:szCs w:val="28"/>
        </w:rPr>
        <w:t>）文件关于“新建工业项目的固定资产投入强度不低于220万元/亩、地均税收不低于15万元/亩”的要求，以及《三明吉口循环经济产业园控制性详细规划》关于工业用地容积率不低于0.9的要求，</w:t>
      </w:r>
      <w:r>
        <w:rPr>
          <w:rFonts w:cs="Times New Roman"/>
          <w:szCs w:val="28"/>
        </w:rPr>
        <w:t>通过采取合理确定出让土地的宗地规模、严格落实工业和经营性用地招标拍卖挂牌出让制度、强化用地合同管理等节约集约用地措施，合理安排用地规模、结构和布局，优化土地利用空间格局，因地制宜配置用地，提高现有用地使用效益，实现土地利用由粗放型向集约型的根本转变，形成布局集中、产业集聚、用地集约的产业园区。</w:t>
      </w:r>
    </w:p>
    <w:p>
      <w:pPr>
        <w:pStyle w:val="4"/>
        <w:ind w:left="420" w:firstLine="0" w:firstLineChars="0"/>
        <w:rPr>
          <w:rFonts w:cs="Times New Roman"/>
        </w:rPr>
      </w:pPr>
      <w:bookmarkStart w:id="129" w:name="_Toc24186"/>
      <w:bookmarkStart w:id="130" w:name="_Toc29896"/>
      <w:bookmarkStart w:id="131" w:name="_Toc17606_WPSOffice_Level2"/>
      <w:bookmarkStart w:id="132" w:name="_Toc17894"/>
      <w:bookmarkStart w:id="133" w:name="_Toc10649_WPSOffice_Level2"/>
      <w:bookmarkStart w:id="134" w:name="_Toc28183"/>
      <w:bookmarkStart w:id="135" w:name="_Toc32582_WPSOffice_Level2"/>
      <w:bookmarkStart w:id="136" w:name="_Toc18042"/>
      <w:bookmarkStart w:id="137" w:name="_Toc28046"/>
      <w:bookmarkStart w:id="138" w:name="_Toc16335"/>
      <w:bookmarkStart w:id="139" w:name="_Toc397"/>
      <w:bookmarkStart w:id="140" w:name="_Toc17575"/>
      <w:bookmarkStart w:id="141" w:name="_Toc26371_WPSOffice_Level2"/>
      <w:r>
        <w:rPr>
          <w:rFonts w:hint="eastAsia" w:cs="Times New Roman"/>
        </w:rPr>
        <w:t>（二）</w:t>
      </w:r>
      <w:r>
        <w:rPr>
          <w:rFonts w:cs="Times New Roman"/>
        </w:rPr>
        <w:t>经济效益</w:t>
      </w:r>
      <w:bookmarkEnd w:id="129"/>
      <w:bookmarkEnd w:id="130"/>
      <w:bookmarkEnd w:id="131"/>
      <w:bookmarkEnd w:id="132"/>
      <w:bookmarkEnd w:id="133"/>
      <w:bookmarkEnd w:id="134"/>
      <w:bookmarkEnd w:id="135"/>
      <w:bookmarkEnd w:id="136"/>
      <w:bookmarkEnd w:id="137"/>
      <w:bookmarkEnd w:id="138"/>
      <w:bookmarkEnd w:id="139"/>
      <w:bookmarkEnd w:id="140"/>
      <w:bookmarkEnd w:id="141"/>
    </w:p>
    <w:p>
      <w:pPr>
        <w:ind w:firstLine="560"/>
        <w:rPr>
          <w:rFonts w:cs="Times New Roman"/>
        </w:rPr>
      </w:pPr>
      <w:r>
        <w:rPr>
          <w:rFonts w:cs="Times New Roman"/>
        </w:rPr>
        <w:t>本项目经济效益评价计算期取13年(202</w:t>
      </w:r>
      <w:r>
        <w:rPr>
          <w:rFonts w:hint="eastAsia" w:cs="Times New Roman"/>
        </w:rPr>
        <w:t>1</w:t>
      </w:r>
      <w:r>
        <w:rPr>
          <w:rFonts w:cs="Times New Roman"/>
        </w:rPr>
        <w:t>-203</w:t>
      </w:r>
      <w:r>
        <w:rPr>
          <w:rFonts w:hint="eastAsia" w:cs="Times New Roman"/>
        </w:rPr>
        <w:t>3</w:t>
      </w:r>
      <w:r>
        <w:rPr>
          <w:rFonts w:cs="Times New Roman"/>
        </w:rPr>
        <w:t>，其中建设期3年，经营期10年)。</w:t>
      </w:r>
    </w:p>
    <w:p>
      <w:pPr>
        <w:ind w:firstLine="560"/>
        <w:rPr>
          <w:rFonts w:cs="Times New Roman"/>
        </w:rPr>
      </w:pPr>
      <w:r>
        <w:rPr>
          <w:rFonts w:cs="Times New Roman"/>
        </w:rPr>
        <w:t>成片开发项目的开发成本费用约为</w:t>
      </w:r>
      <w:r>
        <w:rPr>
          <w:rFonts w:hint="eastAsia" w:cs="Times New Roman"/>
        </w:rPr>
        <w:t>22800</w:t>
      </w:r>
      <w:r>
        <w:rPr>
          <w:rFonts w:cs="Times New Roman"/>
        </w:rPr>
        <w:t>万元</w:t>
      </w:r>
      <w:r>
        <w:rPr>
          <w:rFonts w:hint="eastAsia" w:cs="Times New Roman"/>
        </w:rPr>
        <w:t>，主要</w:t>
      </w:r>
      <w:r>
        <w:rPr>
          <w:rFonts w:cs="Times New Roman"/>
        </w:rPr>
        <w:t>包含土石方</w:t>
      </w:r>
      <w:r>
        <w:rPr>
          <w:rFonts w:hint="eastAsia" w:cs="Times New Roman"/>
        </w:rPr>
        <w:t>、</w:t>
      </w:r>
      <w:r>
        <w:rPr>
          <w:rFonts w:cs="Times New Roman"/>
        </w:rPr>
        <w:t>道路</w:t>
      </w:r>
      <w:r>
        <w:rPr>
          <w:rFonts w:hint="eastAsia" w:cs="Times New Roman"/>
        </w:rPr>
        <w:t>、</w:t>
      </w:r>
      <w:r>
        <w:rPr>
          <w:rFonts w:cs="Times New Roman"/>
        </w:rPr>
        <w:t>排洪渠</w:t>
      </w:r>
      <w:r>
        <w:rPr>
          <w:rFonts w:hint="eastAsia" w:cs="Times New Roman"/>
        </w:rPr>
        <w:t>、</w:t>
      </w:r>
      <w:r>
        <w:rPr>
          <w:rFonts w:cs="Times New Roman"/>
        </w:rPr>
        <w:t>边坡治理</w:t>
      </w:r>
      <w:r>
        <w:rPr>
          <w:rFonts w:hint="eastAsia" w:cs="Times New Roman"/>
        </w:rPr>
        <w:t>、</w:t>
      </w:r>
      <w:r>
        <w:rPr>
          <w:rFonts w:cs="Times New Roman"/>
        </w:rPr>
        <w:t>绿化</w:t>
      </w:r>
      <w:r>
        <w:rPr>
          <w:rFonts w:hint="eastAsia" w:cs="Times New Roman"/>
        </w:rPr>
        <w:t>、</w:t>
      </w:r>
      <w:r>
        <w:rPr>
          <w:rFonts w:cs="Times New Roman"/>
        </w:rPr>
        <w:t>管廊建设</w:t>
      </w:r>
      <w:r>
        <w:rPr>
          <w:rFonts w:hint="eastAsia" w:cs="Times New Roman"/>
        </w:rPr>
        <w:t>、</w:t>
      </w:r>
      <w:r>
        <w:rPr>
          <w:rFonts w:cs="Times New Roman"/>
        </w:rPr>
        <w:t>停车场</w:t>
      </w:r>
      <w:r>
        <w:rPr>
          <w:rFonts w:hint="eastAsia" w:cs="Times New Roman"/>
        </w:rPr>
        <w:t>等工程建设；</w:t>
      </w:r>
      <w:r>
        <w:rPr>
          <w:rFonts w:cs="Times New Roman"/>
        </w:rPr>
        <w:t>土地征收成本费用约为</w:t>
      </w:r>
      <w:r>
        <w:rPr>
          <w:rFonts w:hint="eastAsia" w:cs="Times New Roman"/>
        </w:rPr>
        <w:t>18800</w:t>
      </w:r>
      <w:r>
        <w:rPr>
          <w:rFonts w:cs="Times New Roman"/>
        </w:rPr>
        <w:t>万元</w:t>
      </w:r>
      <w:r>
        <w:rPr>
          <w:rFonts w:hint="eastAsia" w:cs="Times New Roman"/>
        </w:rPr>
        <w:t>，</w:t>
      </w:r>
      <w:r>
        <w:rPr>
          <w:rFonts w:cs="Times New Roman"/>
        </w:rPr>
        <w:t>包含林地报批成本、土地农转用报批等方面</w:t>
      </w:r>
      <w:r>
        <w:rPr>
          <w:rFonts w:hint="eastAsia" w:cs="Times New Roman"/>
        </w:rPr>
        <w:t>；</w:t>
      </w:r>
      <w:r>
        <w:rPr>
          <w:rFonts w:cs="Times New Roman"/>
        </w:rPr>
        <w:t>综合以上，计算期13年成本费用约为41</w:t>
      </w:r>
      <w:r>
        <w:rPr>
          <w:rFonts w:hint="eastAsia" w:cs="Times New Roman"/>
        </w:rPr>
        <w:t>600</w:t>
      </w:r>
      <w:r>
        <w:rPr>
          <w:rFonts w:cs="Times New Roman"/>
        </w:rPr>
        <w:t>万元。项目区的经济收益费用约为17</w:t>
      </w:r>
      <w:r>
        <w:rPr>
          <w:rFonts w:hint="eastAsia" w:cs="Times New Roman"/>
        </w:rPr>
        <w:t>5000</w:t>
      </w:r>
      <w:r>
        <w:rPr>
          <w:rFonts w:cs="Times New Roman"/>
        </w:rPr>
        <w:t>万元</w:t>
      </w:r>
      <w:r>
        <w:rPr>
          <w:rFonts w:hint="eastAsia" w:cs="Times New Roman"/>
        </w:rPr>
        <w:t>，</w:t>
      </w:r>
      <w:r>
        <w:rPr>
          <w:rFonts w:cs="Times New Roman"/>
        </w:rPr>
        <w:t>主要为厂房租金收入，土地出让收入、工业税收返还收入等</w:t>
      </w:r>
      <w:r>
        <w:rPr>
          <w:rFonts w:hint="eastAsia" w:cs="Times New Roman"/>
        </w:rPr>
        <w:t>方面</w:t>
      </w:r>
      <w:r>
        <w:rPr>
          <w:rFonts w:cs="Times New Roman"/>
        </w:rPr>
        <w:t>。通过以上分析本项目有较好的经济效益，因此，该项目国民经济评价是可行的。</w:t>
      </w:r>
    </w:p>
    <w:p>
      <w:pPr>
        <w:ind w:firstLine="560"/>
        <w:rPr>
          <w:rFonts w:cs="Times New Roman"/>
        </w:rPr>
      </w:pPr>
      <w:r>
        <w:rPr>
          <w:rFonts w:cs="Times New Roman"/>
        </w:rPr>
        <w:t>氟新材料作为新材料产业的一个重要分支，是目前基础化学工业中最具活力和发展潜力的领域。现在国内对其的需求增长率年均超过1</w:t>
      </w:r>
      <w:r>
        <w:rPr>
          <w:rFonts w:hint="eastAsia" w:cs="Times New Roman"/>
        </w:rPr>
        <w:t>5</w:t>
      </w:r>
      <w:r>
        <w:rPr>
          <w:rFonts w:cs="Times New Roman"/>
        </w:rPr>
        <w:t>%，发展空间巨大，氟新材料成为国家重点发展的新材料之一。良好的氟新材料产业园区发展环境能够提升整个区域经济的发展水平。氟新材料产业是三明区域经济的支柱产业之一，三明吉口循环经济产业园的发展可以带动三明市区域的产业结构调整，同时对区域内空间结构分布有较大的影响</w:t>
      </w:r>
      <w:r>
        <w:rPr>
          <w:rFonts w:hint="eastAsia" w:cs="Times New Roman"/>
        </w:rPr>
        <w:t>。有利于</w:t>
      </w:r>
      <w:r>
        <w:rPr>
          <w:rFonts w:cs="Times New Roman"/>
        </w:rPr>
        <w:t>增加区域经济效益，促进该区域的经济发展，提高国民生产水平。</w:t>
      </w:r>
    </w:p>
    <w:p>
      <w:pPr>
        <w:pStyle w:val="4"/>
        <w:ind w:left="420" w:firstLine="0" w:firstLineChars="0"/>
        <w:rPr>
          <w:rFonts w:cs="Times New Roman"/>
        </w:rPr>
      </w:pPr>
      <w:bookmarkStart w:id="142" w:name="_Toc30992"/>
      <w:bookmarkStart w:id="143" w:name="_Toc15644"/>
      <w:bookmarkStart w:id="144" w:name="_Toc31332"/>
      <w:bookmarkStart w:id="145" w:name="_Toc28016_WPSOffice_Level2"/>
      <w:bookmarkStart w:id="146" w:name="_Toc18594_WPSOffice_Level2"/>
      <w:bookmarkStart w:id="147" w:name="_Toc9972_WPSOffice_Level2"/>
      <w:bookmarkStart w:id="148" w:name="_Toc25269_WPSOffice_Level2"/>
      <w:r>
        <w:rPr>
          <w:rFonts w:hint="eastAsia" w:cs="Times New Roman"/>
        </w:rPr>
        <w:t>（三）</w:t>
      </w:r>
      <w:r>
        <w:rPr>
          <w:rFonts w:cs="Times New Roman"/>
        </w:rPr>
        <w:t>社会效益</w:t>
      </w:r>
      <w:bookmarkEnd w:id="142"/>
      <w:bookmarkEnd w:id="143"/>
      <w:bookmarkEnd w:id="144"/>
      <w:bookmarkEnd w:id="145"/>
      <w:bookmarkEnd w:id="146"/>
      <w:bookmarkEnd w:id="147"/>
      <w:bookmarkEnd w:id="148"/>
    </w:p>
    <w:p>
      <w:pPr>
        <w:pStyle w:val="5"/>
        <w:ind w:firstLine="562"/>
        <w:rPr>
          <w:rFonts w:cs="Times New Roman"/>
        </w:rPr>
      </w:pPr>
      <w:bookmarkStart w:id="149" w:name="_Toc9409"/>
      <w:bookmarkStart w:id="150" w:name="_Toc10487"/>
      <w:bookmarkStart w:id="151" w:name="_Toc25104"/>
      <w:bookmarkStart w:id="152" w:name="_Toc8708"/>
      <w:r>
        <w:rPr>
          <w:rFonts w:cs="Times New Roman"/>
        </w:rPr>
        <w:t>1.项目建设对三明氟新材料产业发展的影响</w:t>
      </w:r>
      <w:bookmarkEnd w:id="149"/>
      <w:bookmarkEnd w:id="150"/>
      <w:bookmarkEnd w:id="151"/>
      <w:bookmarkEnd w:id="152"/>
    </w:p>
    <w:p>
      <w:pPr>
        <w:ind w:firstLine="560"/>
        <w:rPr>
          <w:rFonts w:cs="Times New Roman"/>
          <w:szCs w:val="28"/>
        </w:rPr>
      </w:pPr>
      <w:r>
        <w:rPr>
          <w:rFonts w:cs="Times New Roman"/>
          <w:szCs w:val="28"/>
        </w:rPr>
        <w:t>充分发挥三明市萤石资源优势，通过加快高端无机氟化物、新型含氟制冷剂、含氟聚合物材料、含氟精细化学品产业发展，填平补齐氟新材料产业链。项目建设将推动产业聚集发展，突出资源往产业走。通过政策调整，资金奖励，为氟新材料产业发展提供资源保障。三明吉口循环经济产业园的发展建设有利于三明市内资源集中，最大限度的利用矿产资源，助力氟新材料产业发展。</w:t>
      </w:r>
    </w:p>
    <w:p>
      <w:pPr>
        <w:ind w:firstLine="560"/>
        <w:rPr>
          <w:rFonts w:cs="Times New Roman"/>
          <w:szCs w:val="28"/>
        </w:rPr>
      </w:pPr>
      <w:r>
        <w:rPr>
          <w:rFonts w:cs="Times New Roman"/>
          <w:szCs w:val="28"/>
        </w:rPr>
        <w:t>鼓励龙头企业设立新型氟新材料产业研发基地，鼓励和引导氟新材料企业整合技术资源建立研发中心，三明吉口循环经济产业园的发展建设有利于产业研发创新，有利于推进产业人才聚集。</w:t>
      </w:r>
    </w:p>
    <w:p>
      <w:pPr>
        <w:ind w:firstLine="560"/>
        <w:rPr>
          <w:rFonts w:cs="Times New Roman"/>
          <w:szCs w:val="28"/>
        </w:rPr>
      </w:pPr>
      <w:r>
        <w:rPr>
          <w:rFonts w:cs="Times New Roman"/>
          <w:szCs w:val="28"/>
        </w:rPr>
        <w:t xml:space="preserve">三明吉口循环经济产业园的发展建设能有效推动三明市氟新材料产业安全生产、节能减排、循环经济等方面的建设，推动三明氟新材料产业发展和新型城镇化实现良性互动，遵循产业发展规律，努力实现三明氟新材料行业安全、绿色和可持续发展。 </w:t>
      </w:r>
    </w:p>
    <w:p>
      <w:pPr>
        <w:pStyle w:val="5"/>
        <w:ind w:firstLine="562"/>
        <w:rPr>
          <w:rFonts w:cs="Times New Roman"/>
        </w:rPr>
      </w:pPr>
      <w:bookmarkStart w:id="153" w:name="_Toc18910"/>
      <w:bookmarkStart w:id="154" w:name="_Toc19262"/>
      <w:bookmarkStart w:id="155" w:name="_Toc17136"/>
      <w:bookmarkStart w:id="156" w:name="_Toc5207"/>
      <w:r>
        <w:rPr>
          <w:rFonts w:cs="Times New Roman"/>
        </w:rPr>
        <w:t>2.项目建设对当地居民就业与收入的影响</w:t>
      </w:r>
      <w:bookmarkEnd w:id="153"/>
      <w:bookmarkEnd w:id="154"/>
      <w:bookmarkEnd w:id="155"/>
      <w:bookmarkEnd w:id="156"/>
    </w:p>
    <w:p>
      <w:pPr>
        <w:ind w:firstLine="560"/>
        <w:rPr>
          <w:rFonts w:cs="Times New Roman"/>
          <w:szCs w:val="28"/>
        </w:rPr>
      </w:pPr>
      <w:r>
        <w:rPr>
          <w:rFonts w:cs="Times New Roman"/>
          <w:szCs w:val="28"/>
        </w:rPr>
        <w:t xml:space="preserve">从长远来看，三明吉口循环经济产业园的建设、建成投产所带来的各种经济增长效应所产生的就业促进效应是明显的。园区的建设，带来的经济集聚扩散效应的显现，产业的集结以及企业群的形成，将创造就业岗位5000人，将造成产业人口的集中并促进城镇化，通过引进先进企业的管理理念，提高劳动者素质，扩大、完善工人、管理人员与企业家队伍，从而优化当地的社会结构。就业人员的需求增加尤其对于解决周边居民的就业具有现实意义。 </w:t>
      </w:r>
    </w:p>
    <w:p>
      <w:pPr>
        <w:pStyle w:val="5"/>
        <w:ind w:firstLine="562"/>
        <w:rPr>
          <w:rFonts w:cs="Times New Roman"/>
        </w:rPr>
      </w:pPr>
      <w:bookmarkStart w:id="157" w:name="_Toc465"/>
      <w:bookmarkStart w:id="158" w:name="_Toc21661"/>
      <w:bookmarkStart w:id="159" w:name="_Toc12235"/>
      <w:bookmarkStart w:id="160" w:name="_Toc14737"/>
      <w:r>
        <w:rPr>
          <w:rFonts w:cs="Times New Roman"/>
        </w:rPr>
        <w:t>3.社会政治效应分析</w:t>
      </w:r>
      <w:bookmarkEnd w:id="157"/>
      <w:bookmarkEnd w:id="158"/>
      <w:bookmarkEnd w:id="159"/>
      <w:bookmarkEnd w:id="160"/>
    </w:p>
    <w:p>
      <w:pPr>
        <w:ind w:firstLine="560"/>
        <w:rPr>
          <w:rFonts w:cs="Times New Roman"/>
        </w:rPr>
      </w:pPr>
      <w:r>
        <w:rPr>
          <w:rFonts w:cs="Times New Roman"/>
        </w:rPr>
        <w:t>本项目的实施不仅能够带来相当的经济效益，而且也能够为社会发展奠定良好基础。首先是有利于促进三明革命老区的改革、发展和稳定，通过经济转型缩小与沿海发达地区的差距，有利于人口、资源、环境的可持续发展。其次是在一定程度解决了地区就业问题，提高就业人员的总体素质，有利于</w:t>
      </w:r>
      <w:r>
        <w:rPr>
          <w:rFonts w:hint="eastAsia" w:cs="Times New Roman"/>
        </w:rPr>
        <w:t>推动</w:t>
      </w:r>
      <w:r>
        <w:rPr>
          <w:rFonts w:cs="Times New Roman"/>
        </w:rPr>
        <w:t>精神文明建设。另外，可以实现三明市与省内沿海地区及其他省市的有效互动，促进地区经济社会可持续发展。</w:t>
      </w:r>
    </w:p>
    <w:p>
      <w:pPr>
        <w:pStyle w:val="4"/>
        <w:ind w:left="420" w:firstLine="0" w:firstLineChars="0"/>
        <w:rPr>
          <w:rFonts w:cs="Times New Roman"/>
        </w:rPr>
      </w:pPr>
      <w:bookmarkStart w:id="161" w:name="_Toc17624"/>
      <w:bookmarkStart w:id="162" w:name="_Toc29448"/>
      <w:bookmarkStart w:id="163" w:name="_Toc12269"/>
      <w:bookmarkStart w:id="164" w:name="_Toc7186_WPSOffice_Level2"/>
      <w:bookmarkStart w:id="165" w:name="_Toc28723"/>
      <w:bookmarkStart w:id="166" w:name="_Toc22_WPSOffice_Level2"/>
      <w:bookmarkStart w:id="167" w:name="_Toc26692"/>
      <w:bookmarkStart w:id="168" w:name="_Toc940"/>
      <w:bookmarkStart w:id="169" w:name="_Toc20283"/>
      <w:bookmarkStart w:id="170" w:name="_Toc22869"/>
      <w:bookmarkStart w:id="171" w:name="_Toc718"/>
      <w:bookmarkStart w:id="172" w:name="_Toc10367_WPSOffice_Level2"/>
      <w:bookmarkStart w:id="173" w:name="_Toc26286_WPSOffice_Level2"/>
      <w:r>
        <w:rPr>
          <w:rFonts w:hint="eastAsia" w:cs="Times New Roman"/>
        </w:rPr>
        <w:t>（四）</w:t>
      </w:r>
      <w:r>
        <w:rPr>
          <w:rFonts w:cs="Times New Roman"/>
        </w:rPr>
        <w:t>生态效益</w:t>
      </w:r>
      <w:bookmarkEnd w:id="161"/>
      <w:bookmarkEnd w:id="162"/>
      <w:bookmarkEnd w:id="163"/>
      <w:bookmarkEnd w:id="164"/>
      <w:bookmarkEnd w:id="165"/>
      <w:bookmarkEnd w:id="166"/>
      <w:bookmarkEnd w:id="167"/>
      <w:bookmarkEnd w:id="168"/>
      <w:bookmarkEnd w:id="169"/>
      <w:bookmarkEnd w:id="170"/>
      <w:bookmarkEnd w:id="171"/>
      <w:bookmarkEnd w:id="172"/>
      <w:bookmarkEnd w:id="173"/>
    </w:p>
    <w:p>
      <w:pPr>
        <w:ind w:firstLine="560"/>
        <w:rPr>
          <w:rFonts w:cs="Times New Roman"/>
        </w:rPr>
      </w:pPr>
      <w:bookmarkStart w:id="174" w:name="_Toc13355"/>
      <w:bookmarkStart w:id="175" w:name="_Toc9540"/>
      <w:bookmarkStart w:id="176" w:name="_Toc26736"/>
      <w:bookmarkStart w:id="177" w:name="_Toc492"/>
      <w:r>
        <w:rPr>
          <w:rFonts w:cs="Times New Roman"/>
        </w:rPr>
        <w:t>三明吉口循环经济产业园已按要求编制环境影响评价报告书，2019年9月《三明吉口循环经济产业园控制性详细规划》环境影响评价报告书已通过三明市生态环境局的审查，并将审查意见形成《三明市生态环境局关于三明吉口循环经济产业园总体规划环境影响报告书审查意见的函》（明环审</w:t>
      </w:r>
      <w:r>
        <w:rPr>
          <w:rFonts w:cs="Times New Roman"/>
          <w:szCs w:val="28"/>
        </w:rPr>
        <w:t>〔2019〕</w:t>
      </w:r>
      <w:r>
        <w:rPr>
          <w:rFonts w:cs="Times New Roman"/>
        </w:rPr>
        <w:t>9号）文件，环境影响评价报告书中表明园区规划的实施可以满足规划所在区域的环境功能要求，从环境保护的角度分析，园区规划的实施</w:t>
      </w:r>
      <w:r>
        <w:rPr>
          <w:rFonts w:hint="eastAsia" w:cs="Times New Roman"/>
        </w:rPr>
        <w:t>对周边环境不会产生不良影响</w:t>
      </w:r>
      <w:r>
        <w:rPr>
          <w:rFonts w:cs="Times New Roman"/>
        </w:rPr>
        <w:t>。</w:t>
      </w:r>
    </w:p>
    <w:p>
      <w:pPr>
        <w:ind w:firstLine="560"/>
        <w:rPr>
          <w:rFonts w:cs="Times New Roman"/>
        </w:rPr>
      </w:pPr>
      <w:r>
        <w:rPr>
          <w:rFonts w:cs="Times New Roman"/>
          <w:szCs w:val="28"/>
        </w:rPr>
        <w:t>从</w:t>
      </w:r>
      <w:r>
        <w:rPr>
          <w:rFonts w:hint="eastAsia" w:cs="Times New Roman"/>
          <w:szCs w:val="28"/>
        </w:rPr>
        <w:t>园</w:t>
      </w:r>
      <w:r>
        <w:rPr>
          <w:rFonts w:cs="Times New Roman"/>
          <w:szCs w:val="28"/>
        </w:rPr>
        <w:t>区的产业结构主要产业是以发展氟新材料为主</w:t>
      </w:r>
      <w:r>
        <w:rPr>
          <w:rFonts w:hint="eastAsia" w:cs="Times New Roman"/>
          <w:szCs w:val="28"/>
        </w:rPr>
        <w:t>，</w:t>
      </w:r>
      <w:r>
        <w:rPr>
          <w:rFonts w:cs="Times New Roman"/>
          <w:szCs w:val="28"/>
        </w:rPr>
        <w:t>总体来说不属于高耗能企业，</w:t>
      </w:r>
      <w:r>
        <w:rPr>
          <w:rFonts w:cs="Times New Roman"/>
        </w:rPr>
        <w:t>入区企业生产用热使用以天然气为主的清洁能源或电能，并且产业园位于在城市盛行风的下风侧，对城区基本无影响。</w:t>
      </w:r>
    </w:p>
    <w:p>
      <w:pPr>
        <w:ind w:firstLine="560"/>
        <w:rPr>
          <w:rFonts w:cs="Times New Roman"/>
          <w:szCs w:val="28"/>
        </w:rPr>
      </w:pPr>
      <w:r>
        <w:rPr>
          <w:rFonts w:hint="eastAsia" w:cs="Times New Roman"/>
        </w:rPr>
        <w:t>成片开发范围内</w:t>
      </w:r>
      <w:r>
        <w:rPr>
          <w:rFonts w:cs="Times New Roman"/>
        </w:rPr>
        <w:t>不占用</w:t>
      </w:r>
      <w:r>
        <w:rPr>
          <w:rFonts w:hint="eastAsia" w:cs="Times New Roman"/>
        </w:rPr>
        <w:t>永久基本农田、生态保护红线和</w:t>
      </w:r>
      <w:r>
        <w:rPr>
          <w:rFonts w:cs="Times New Roman"/>
          <w:szCs w:val="28"/>
        </w:rPr>
        <w:t>饮用水源保护区</w:t>
      </w:r>
      <w:r>
        <w:rPr>
          <w:rFonts w:hint="eastAsia" w:cs="Times New Roman"/>
          <w:szCs w:val="28"/>
        </w:rPr>
        <w:t>、</w:t>
      </w:r>
      <w:r>
        <w:rPr>
          <w:rFonts w:cs="Times New Roman"/>
        </w:rPr>
        <w:t>自然保护区</w:t>
      </w:r>
      <w:r>
        <w:rPr>
          <w:rFonts w:hint="eastAsia" w:cs="Times New Roman"/>
        </w:rPr>
        <w:t>等各类保护区</w:t>
      </w:r>
      <w:r>
        <w:rPr>
          <w:rFonts w:cs="Times New Roman"/>
        </w:rPr>
        <w:t>，</w:t>
      </w:r>
      <w:r>
        <w:rPr>
          <w:rFonts w:hint="eastAsia" w:cs="Times New Roman"/>
        </w:rPr>
        <w:t>而且</w:t>
      </w:r>
      <w:r>
        <w:rPr>
          <w:rFonts w:cs="Times New Roman"/>
        </w:rPr>
        <w:t>已最大限度</w:t>
      </w:r>
      <w:r>
        <w:rPr>
          <w:rFonts w:hint="eastAsia" w:cs="Times New Roman"/>
        </w:rPr>
        <w:t>保留了40.5568公顷的公园绿地和防护绿地</w:t>
      </w:r>
      <w:r>
        <w:rPr>
          <w:rFonts w:cs="Times New Roman"/>
        </w:rPr>
        <w:t>等具有生态保护功能的非建设用地</w:t>
      </w:r>
      <w:r>
        <w:rPr>
          <w:rFonts w:hint="eastAsia" w:cs="Times New Roman"/>
        </w:rPr>
        <w:t>，园区</w:t>
      </w:r>
      <w:r>
        <w:rPr>
          <w:rFonts w:cs="Times New Roman"/>
        </w:rPr>
        <w:t>与保护区间尚有成片山体林地相隔，不会对区域附近生态产生不良</w:t>
      </w:r>
      <w:r>
        <w:rPr>
          <w:rFonts w:hint="eastAsia" w:cs="Times New Roman"/>
        </w:rPr>
        <w:t>效益</w:t>
      </w:r>
      <w:r>
        <w:rPr>
          <w:rFonts w:cs="Times New Roman"/>
        </w:rPr>
        <w:t>。</w:t>
      </w:r>
    </w:p>
    <w:bookmarkEnd w:id="174"/>
    <w:bookmarkEnd w:id="175"/>
    <w:bookmarkEnd w:id="176"/>
    <w:bookmarkEnd w:id="177"/>
    <w:p>
      <w:pPr>
        <w:ind w:firstLine="560"/>
        <w:rPr>
          <w:rFonts w:cs="Times New Roman"/>
          <w:szCs w:val="28"/>
        </w:rPr>
      </w:pPr>
      <w:r>
        <w:rPr>
          <w:rFonts w:cs="Times New Roman"/>
          <w:szCs w:val="28"/>
        </w:rPr>
        <w:t>综上所述，</w:t>
      </w:r>
      <w:r>
        <w:rPr>
          <w:rFonts w:cs="Times New Roman"/>
        </w:rPr>
        <w:t>加强对水源、土地、森林等自然资源的生态保护，继续推进生态公益林保护、水土流失治理等生态工程建设，加强自然保护区和重要生态功能区的生态保护、建设和管理</w:t>
      </w:r>
      <w:r>
        <w:rPr>
          <w:rFonts w:cs="Times New Roman"/>
          <w:szCs w:val="28"/>
        </w:rPr>
        <w:t>，对周边生态环境的影响是可以控制的，与福建省生态功能区划不存在冲突。</w:t>
      </w:r>
    </w:p>
    <w:p>
      <w:pPr>
        <w:pStyle w:val="3"/>
        <w:ind w:firstLine="643"/>
      </w:pPr>
      <w:bookmarkStart w:id="178" w:name="_Toc4659"/>
      <w:bookmarkStart w:id="179" w:name="_Toc211_WPSOffice_Level1"/>
      <w:bookmarkStart w:id="180" w:name="_Toc18491"/>
      <w:bookmarkStart w:id="181" w:name="_Toc19707"/>
      <w:bookmarkStart w:id="182" w:name="_Toc2134"/>
      <w:bookmarkStart w:id="183" w:name="_Toc7068"/>
      <w:bookmarkStart w:id="184" w:name="_Toc12284"/>
      <w:bookmarkStart w:id="185" w:name="_Toc9218_WPSOffice_Level1"/>
      <w:bookmarkStart w:id="186" w:name="_Toc10824_WPSOffice_Level1"/>
      <w:bookmarkStart w:id="187" w:name="_Toc21246"/>
      <w:bookmarkStart w:id="188" w:name="_Toc9443_WPSOffice_Level1"/>
      <w:bookmarkStart w:id="189" w:name="_Toc15036"/>
      <w:bookmarkStart w:id="190" w:name="_Toc4515"/>
      <w:r>
        <w:rPr>
          <w:rFonts w:hint="eastAsia"/>
          <w:szCs w:val="32"/>
        </w:rPr>
        <w:t>征求意见情况</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4"/>
        <w:keepNext w:val="0"/>
        <w:keepLines w:val="0"/>
        <w:ind w:firstLine="602"/>
        <w:rPr>
          <w:rFonts w:cs="Times New Roman"/>
        </w:rPr>
      </w:pPr>
      <w:bookmarkStart w:id="191" w:name="_Toc29885"/>
      <w:bookmarkStart w:id="192" w:name="_Toc3978"/>
      <w:bookmarkStart w:id="193" w:name="_Toc17747"/>
      <w:bookmarkStart w:id="194" w:name="_Toc16762"/>
      <w:bookmarkStart w:id="195" w:name="_Toc18904"/>
      <w:bookmarkStart w:id="196" w:name="_Toc9139"/>
      <w:bookmarkStart w:id="197" w:name="_Toc30467"/>
      <w:r>
        <w:rPr>
          <w:rFonts w:cs="Times New Roman"/>
        </w:rPr>
        <w:t>（</w:t>
      </w:r>
      <w:r>
        <w:rPr>
          <w:rFonts w:hint="eastAsia" w:cs="Times New Roman"/>
        </w:rPr>
        <w:t>一</w:t>
      </w:r>
      <w:r>
        <w:rPr>
          <w:rFonts w:cs="Times New Roman"/>
        </w:rPr>
        <w:t>）听取人大代表、政协委员、社会公众和有关专家学者意见</w:t>
      </w:r>
      <w:bookmarkEnd w:id="191"/>
      <w:r>
        <w:rPr>
          <w:rFonts w:cs="Times New Roman"/>
        </w:rPr>
        <w:t xml:space="preserve"> </w:t>
      </w:r>
    </w:p>
    <w:p>
      <w:pPr>
        <w:ind w:firstLine="560"/>
        <w:rPr>
          <w:rFonts w:hint="eastAsia" w:cs="Times New Roman"/>
        </w:rPr>
      </w:pPr>
      <w:r>
        <w:rPr>
          <w:rFonts w:hint="eastAsia" w:cs="Times New Roman"/>
        </w:rPr>
        <w:t>2020年11月19日，三明市政府组织召开三明吉口循环经济产业园土地征收成片开发方案征求意见会，听取了人大代表、政协委员、社会公众和土地、规划、法律、环保、产业等相关专家学者的意见，经充分讨论，同意本方案</w:t>
      </w:r>
      <w:r>
        <w:rPr>
          <w:rFonts w:hint="eastAsia"/>
          <w:sz w:val="32"/>
          <w:szCs w:val="32"/>
        </w:rPr>
        <w:t>。</w:t>
      </w:r>
      <w:r>
        <w:rPr>
          <w:rFonts w:cs="Times New Roman"/>
        </w:rPr>
        <w:t>为进一步完善方案，人大代表、政协委员、社会公众和有关专家提出相关的意见和建议</w:t>
      </w:r>
      <w:r>
        <w:rPr>
          <w:rFonts w:hint="eastAsia" w:cs="Times New Roman"/>
        </w:rPr>
        <w:t>，本方案已根据意见修改完善。</w:t>
      </w:r>
    </w:p>
    <w:p>
      <w:pPr>
        <w:pStyle w:val="4"/>
        <w:ind w:firstLine="602"/>
        <w:rPr>
          <w:rFonts w:cs="Times New Roman"/>
        </w:rPr>
      </w:pPr>
      <w:bookmarkStart w:id="198" w:name="_Toc18628"/>
      <w:r>
        <w:rPr>
          <w:rFonts w:cs="Times New Roman"/>
        </w:rPr>
        <w:t>（</w:t>
      </w:r>
      <w:r>
        <w:rPr>
          <w:rFonts w:hint="eastAsia" w:cs="Times New Roman"/>
          <w:lang w:eastAsia="zh-CN"/>
        </w:rPr>
        <w:t>二</w:t>
      </w:r>
      <w:r>
        <w:rPr>
          <w:rFonts w:cs="Times New Roman"/>
        </w:rPr>
        <w:t>）集体经济组织和农民的意见</w:t>
      </w:r>
      <w:bookmarkEnd w:id="198"/>
      <w:r>
        <w:rPr>
          <w:rFonts w:cs="Times New Roman"/>
        </w:rPr>
        <w:t xml:space="preserve"> </w:t>
      </w:r>
    </w:p>
    <w:p>
      <w:pPr>
        <w:ind w:firstLine="560"/>
        <w:rPr>
          <w:rFonts w:hint="eastAsia" w:cs="Times New Roman"/>
        </w:rPr>
      </w:pPr>
      <w:r>
        <w:rPr>
          <w:rFonts w:hint="eastAsia" w:cs="Times New Roman"/>
          <w:szCs w:val="28"/>
          <w:lang w:eastAsia="zh-CN"/>
        </w:rPr>
        <w:t>我市</w:t>
      </w:r>
      <w:r>
        <w:rPr>
          <w:rFonts w:cs="Times New Roman"/>
          <w:szCs w:val="28"/>
        </w:rPr>
        <w:t>已于202</w:t>
      </w:r>
      <w:r>
        <w:rPr>
          <w:rFonts w:hint="eastAsia" w:cs="Times New Roman"/>
          <w:szCs w:val="28"/>
          <w:lang w:val="en-US" w:eastAsia="zh-CN"/>
        </w:rPr>
        <w:t>0</w:t>
      </w:r>
      <w:r>
        <w:rPr>
          <w:rFonts w:cs="Times New Roman"/>
          <w:szCs w:val="28"/>
        </w:rPr>
        <w:t>年</w:t>
      </w:r>
      <w:r>
        <w:rPr>
          <w:rFonts w:hint="eastAsia" w:cs="Times New Roman"/>
          <w:szCs w:val="28"/>
          <w:lang w:val="en-US" w:eastAsia="zh-CN"/>
        </w:rPr>
        <w:t>11</w:t>
      </w:r>
      <w:r>
        <w:rPr>
          <w:rFonts w:cs="Times New Roman"/>
          <w:szCs w:val="28"/>
        </w:rPr>
        <w:t>月</w:t>
      </w:r>
      <w:r>
        <w:rPr>
          <w:rFonts w:hint="eastAsia" w:cs="Times New Roman"/>
          <w:szCs w:val="28"/>
          <w:lang w:val="en-US" w:eastAsia="zh-CN"/>
        </w:rPr>
        <w:t>20</w:t>
      </w:r>
      <w:r>
        <w:rPr>
          <w:rFonts w:cs="Times New Roman"/>
          <w:szCs w:val="28"/>
        </w:rPr>
        <w:t>日发函征求成片开发范围内村集体经济组织和农民意见。</w:t>
      </w:r>
    </w:p>
    <w:p>
      <w:pPr>
        <w:widowControl/>
        <w:ind w:firstLine="560"/>
      </w:pPr>
      <w:r>
        <w:rPr>
          <w:rFonts w:hint="eastAsia" w:cs="Times New Roman"/>
        </w:rPr>
        <w:t>2020年1</w:t>
      </w:r>
      <w:r>
        <w:rPr>
          <w:rFonts w:hint="eastAsia" w:cs="Times New Roman"/>
          <w:lang w:val="en-US" w:eastAsia="zh-CN"/>
        </w:rPr>
        <w:t>1</w:t>
      </w:r>
      <w:r>
        <w:rPr>
          <w:rFonts w:hint="eastAsia" w:cs="Times New Roman"/>
        </w:rPr>
        <w:t>月</w:t>
      </w:r>
      <w:r>
        <w:rPr>
          <w:rFonts w:hint="eastAsia" w:cs="Times New Roman"/>
          <w:lang w:val="en-US" w:eastAsia="zh-CN"/>
        </w:rPr>
        <w:t>23</w:t>
      </w:r>
      <w:r>
        <w:rPr>
          <w:rFonts w:hint="eastAsia" w:cs="Times New Roman"/>
        </w:rPr>
        <w:t>日，三明吉口循环经济产业园土地征收成片开发方案所涉及的岩前</w:t>
      </w:r>
      <w:r>
        <w:rPr>
          <w:rFonts w:cs="Times New Roman"/>
        </w:rPr>
        <w:t>村</w:t>
      </w:r>
      <w:r>
        <w:rPr>
          <w:rFonts w:hint="eastAsia" w:cs="Times New Roman"/>
        </w:rPr>
        <w:t>组织召开村民代表会议</w:t>
      </w:r>
      <w:r>
        <w:rPr>
          <w:rFonts w:cs="Times New Roman"/>
        </w:rPr>
        <w:t>，</w:t>
      </w:r>
      <w:r>
        <w:rPr>
          <w:rFonts w:hint="eastAsia" w:cs="Times New Roman"/>
        </w:rPr>
        <w:t>应到村民代表71人，</w:t>
      </w:r>
      <w:r>
        <w:rPr>
          <w:rFonts w:hint="eastAsia" w:cs="Times New Roman"/>
          <w:lang w:eastAsia="zh-CN"/>
        </w:rPr>
        <w:t>参会村名代表</w:t>
      </w:r>
      <w:r>
        <w:rPr>
          <w:rFonts w:hint="eastAsia" w:cs="Times New Roman"/>
        </w:rPr>
        <w:t>53</w:t>
      </w:r>
      <w:r>
        <w:rPr>
          <w:rFonts w:cs="Times New Roman"/>
        </w:rPr>
        <w:t>人，</w:t>
      </w:r>
      <w:r>
        <w:rPr>
          <w:rFonts w:hint="eastAsia" w:cs="Times New Roman"/>
        </w:rPr>
        <w:t>参会代表超过三分之二。53</w:t>
      </w:r>
      <w:r>
        <w:rPr>
          <w:rFonts w:cs="Times New Roman"/>
        </w:rPr>
        <w:t>人</w:t>
      </w:r>
      <w:r>
        <w:rPr>
          <w:rFonts w:hint="eastAsia" w:cs="Times New Roman"/>
        </w:rPr>
        <w:t>参会代表均</w:t>
      </w:r>
      <w:r>
        <w:rPr>
          <w:rFonts w:cs="Times New Roman"/>
        </w:rPr>
        <w:t>同意成片开发方案，</w:t>
      </w:r>
      <w:r>
        <w:rPr>
          <w:rFonts w:hint="eastAsia" w:cs="Times New Roman"/>
          <w:lang w:eastAsia="zh-CN"/>
        </w:rPr>
        <w:t>比例为</w:t>
      </w:r>
      <w:r>
        <w:rPr>
          <w:rFonts w:hint="eastAsia" w:cs="Times New Roman"/>
          <w:lang w:val="en-US" w:eastAsia="zh-CN"/>
        </w:rPr>
        <w:t>74.65%，</w:t>
      </w:r>
      <w:r>
        <w:rPr>
          <w:rFonts w:hint="eastAsia" w:cs="Times New Roman"/>
        </w:rPr>
        <w:t>符合</w:t>
      </w:r>
      <w:r>
        <w:rPr>
          <w:rFonts w:cs="Times New Roman"/>
        </w:rPr>
        <w:t>达到三分之二以上村民代表同意的规定</w:t>
      </w:r>
      <w:r>
        <w:rPr>
          <w:rFonts w:hint="eastAsia" w:cs="Times New Roman"/>
        </w:rPr>
        <w:t>，</w:t>
      </w:r>
      <w:r>
        <w:rPr>
          <w:rFonts w:cs="Times New Roman"/>
        </w:rPr>
        <w:t>目前已完成岩前镇岩前村布溪小组整村搬迁的工作</w:t>
      </w:r>
      <w:r>
        <w:rPr>
          <w:rFonts w:cs="Times New Roman"/>
          <w:color w:val="000000"/>
          <w:kern w:val="0"/>
          <w:szCs w:val="28"/>
        </w:rPr>
        <w:t>。</w:t>
      </w:r>
    </w:p>
    <w:p>
      <w:pPr>
        <w:pStyle w:val="4"/>
        <w:ind w:firstLine="602"/>
        <w:rPr>
          <w:rFonts w:cs="Times New Roman"/>
        </w:rPr>
      </w:pPr>
      <w:bookmarkStart w:id="199" w:name="_Toc26222"/>
      <w:r>
        <w:rPr>
          <w:rFonts w:cs="Times New Roman"/>
        </w:rPr>
        <w:t>（</w:t>
      </w:r>
      <w:r>
        <w:rPr>
          <w:rFonts w:hint="eastAsia" w:cs="Times New Roman"/>
          <w:lang w:eastAsia="zh-CN"/>
        </w:rPr>
        <w:t>三</w:t>
      </w:r>
      <w:r>
        <w:rPr>
          <w:rFonts w:cs="Times New Roman"/>
        </w:rPr>
        <w:t>）</w:t>
      </w:r>
      <w:r>
        <w:rPr>
          <w:rFonts w:hint="eastAsia" w:cs="Times New Roman"/>
        </w:rPr>
        <w:t>公告公示</w:t>
      </w:r>
      <w:r>
        <w:rPr>
          <w:rFonts w:cs="Times New Roman"/>
        </w:rPr>
        <w:t>情况</w:t>
      </w:r>
      <w:bookmarkEnd w:id="199"/>
    </w:p>
    <w:p>
      <w:pPr>
        <w:ind w:firstLine="560"/>
        <w:rPr>
          <w:rFonts w:cs="Times New Roman"/>
        </w:rPr>
      </w:pPr>
      <w:r>
        <w:rPr>
          <w:rFonts w:cs="Times New Roman"/>
          <w:szCs w:val="28"/>
        </w:rPr>
        <w:t>根据各界意见以及成片开发范围内村集体经济组织和村民意见，修改方案后，</w:t>
      </w:r>
      <w:r>
        <w:rPr>
          <w:rFonts w:hint="eastAsia" w:cs="Times New Roman"/>
          <w:szCs w:val="28"/>
          <w:lang w:eastAsia="zh-CN"/>
        </w:rPr>
        <w:t>我市</w:t>
      </w:r>
      <w:r>
        <w:rPr>
          <w:rFonts w:cs="Times New Roman"/>
          <w:szCs w:val="28"/>
        </w:rPr>
        <w:t>已于</w:t>
      </w:r>
      <w:r>
        <w:rPr>
          <w:rFonts w:hint="eastAsia" w:cs="Times New Roman"/>
        </w:rPr>
        <w:t>2020年11月25日</w:t>
      </w:r>
      <w:r>
        <w:rPr>
          <w:rFonts w:cs="Times New Roman"/>
          <w:szCs w:val="28"/>
        </w:rPr>
        <w:t>将成片开发方案公示在</w:t>
      </w:r>
      <w:r>
        <w:rPr>
          <w:rFonts w:hint="eastAsia" w:cs="Times New Roman"/>
          <w:szCs w:val="28"/>
          <w:lang w:eastAsia="zh-CN"/>
        </w:rPr>
        <w:t>三明</w:t>
      </w:r>
      <w:r>
        <w:rPr>
          <w:rFonts w:hint="eastAsia" w:cs="Times New Roman"/>
        </w:rPr>
        <w:t>市自然资源局门户网站</w:t>
      </w:r>
      <w:r>
        <w:rPr>
          <w:rFonts w:cs="Times New Roman"/>
          <w:szCs w:val="28"/>
        </w:rPr>
        <w:t>，并与</w:t>
      </w:r>
      <w:r>
        <w:rPr>
          <w:rFonts w:hint="eastAsia" w:cs="Times New Roman"/>
        </w:rPr>
        <w:t>2020年11月25日</w:t>
      </w:r>
      <w:r>
        <w:rPr>
          <w:rFonts w:cs="Times New Roman"/>
          <w:szCs w:val="28"/>
        </w:rPr>
        <w:t>将成片开发方案相关内容张贴于</w:t>
      </w:r>
      <w:r>
        <w:rPr>
          <w:rFonts w:hint="eastAsia" w:cs="Times New Roman"/>
        </w:rPr>
        <w:t>岩前村公告栏进行公示</w:t>
      </w:r>
      <w:r>
        <w:rPr>
          <w:rFonts w:cs="Times New Roman"/>
          <w:szCs w:val="28"/>
        </w:rPr>
        <w:t>，公示时间均超过5个工作日。公示期间，未收到任何意见、建议和反馈。</w:t>
      </w:r>
    </w:p>
    <w:bookmarkEnd w:id="192"/>
    <w:bookmarkEnd w:id="193"/>
    <w:bookmarkEnd w:id="194"/>
    <w:bookmarkEnd w:id="195"/>
    <w:bookmarkEnd w:id="196"/>
    <w:bookmarkEnd w:id="197"/>
    <w:p>
      <w:pPr>
        <w:pStyle w:val="3"/>
        <w:ind w:firstLine="643"/>
      </w:pPr>
      <w:bookmarkStart w:id="200" w:name="_Toc20446"/>
      <w:r>
        <w:t>结论</w:t>
      </w:r>
      <w:bookmarkEnd w:id="200"/>
    </w:p>
    <w:p>
      <w:pPr>
        <w:ind w:firstLine="560"/>
        <w:rPr>
          <w:rFonts w:cs="Times New Roman"/>
          <w:szCs w:val="28"/>
        </w:rPr>
      </w:pPr>
      <w:r>
        <w:rPr>
          <w:rFonts w:hint="eastAsia" w:cs="Times New Roman"/>
        </w:rPr>
        <w:t>本</w:t>
      </w:r>
      <w:r>
        <w:rPr>
          <w:rFonts w:cs="Times New Roman"/>
        </w:rPr>
        <w:t>土地征收成片开发方案符合国民经济和社会发展规划、土地利用总体规划、城乡规划和专项规划，已纳入国民经济和社会发展年度计划，符合部省规定的标准，做到了保护耕地、维护农民合法权益、节约集约用地、保护生态环境，能够促进经济社会可持续发展。</w:t>
      </w:r>
    </w:p>
    <w:p>
      <w:pPr>
        <w:ind w:firstLine="560"/>
        <w:rPr>
          <w:rFonts w:cs="Times New Roman"/>
          <w:szCs w:val="28"/>
        </w:rPr>
      </w:pPr>
    </w:p>
    <w:p>
      <w:pPr>
        <w:spacing w:line="240" w:lineRule="auto"/>
        <w:rPr>
          <w:rFonts w:hint="eastAsia" w:eastAsia="仿宋_GB2312"/>
          <w:lang w:eastAsia="zh-CN"/>
        </w:rPr>
      </w:pPr>
      <w:r>
        <w:rPr>
          <w:rFonts w:hint="eastAsia" w:eastAsia="仿宋_GB2312"/>
          <w:lang w:eastAsia="zh-CN"/>
        </w:rPr>
        <w:drawing>
          <wp:inline distT="0" distB="0" distL="114300" distR="114300">
            <wp:extent cx="5272405" cy="7452360"/>
            <wp:effectExtent l="0" t="0" r="4445" b="15240"/>
            <wp:docPr id="1" name="图片 1" descr="示意图（简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示意图（简版）"/>
                    <pic:cNvPicPr>
                      <a:picLocks noChangeAspect="1"/>
                    </pic:cNvPicPr>
                  </pic:nvPicPr>
                  <pic:blipFill>
                    <a:blip r:embed="rId13"/>
                    <a:stretch>
                      <a:fillRect/>
                    </a:stretch>
                  </pic:blipFill>
                  <pic:spPr>
                    <a:xfrm>
                      <a:off x="0" y="0"/>
                      <a:ext cx="5272405" cy="7452360"/>
                    </a:xfrm>
                    <a:prstGeom prst="rect">
                      <a:avLst/>
                    </a:prstGeom>
                  </pic:spPr>
                </pic:pic>
              </a:graphicData>
            </a:graphic>
          </wp:inline>
        </w:drawing>
      </w: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JZGILbNAQAApwMAAA4A&#10;AAAAAAAAAQAgAAAANAEAAGRycy9lMm9Eb2MueG1sUEsFBgAAAAAGAAYAWQEAAHMFA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48349"/>
    <w:multiLevelType w:val="singleLevel"/>
    <w:tmpl w:val="BF448349"/>
    <w:lvl w:ilvl="0" w:tentative="0">
      <w:start w:val="1"/>
      <w:numFmt w:val="chineseCounting"/>
      <w:suff w:val="nothing"/>
      <w:lvlText w:val="%1、"/>
      <w:lvlJc w:val="left"/>
      <w:rPr>
        <w:rFonts w:hint="eastAsia"/>
      </w:rPr>
    </w:lvl>
  </w:abstractNum>
  <w:abstractNum w:abstractNumId="1">
    <w:nsid w:val="D50D4A5C"/>
    <w:multiLevelType w:val="singleLevel"/>
    <w:tmpl w:val="D50D4A5C"/>
    <w:lvl w:ilvl="0" w:tentative="0">
      <w:start w:val="1"/>
      <w:numFmt w:val="chineseCounting"/>
      <w:pStyle w:val="3"/>
      <w:suff w:val="nothing"/>
      <w:lvlText w:val="%1、"/>
      <w:lvlJc w:val="left"/>
      <w:pPr>
        <w:ind w:left="0" w:firstLine="420"/>
      </w:pPr>
      <w:rPr>
        <w:rFonts w:hint="eastAsia"/>
      </w:rPr>
    </w:lvl>
  </w:abstractNum>
  <w:abstractNum w:abstractNumId="2">
    <w:nsid w:val="3C7F15DD"/>
    <w:multiLevelType w:val="multilevel"/>
    <w:tmpl w:val="3C7F15DD"/>
    <w:lvl w:ilvl="0" w:tentative="0">
      <w:start w:val="1"/>
      <w:numFmt w:val="chineseCountingThousand"/>
      <w:pStyle w:val="18"/>
      <w:lvlText w:val="(%1)"/>
      <w:lvlJc w:val="left"/>
      <w:pPr>
        <w:ind w:left="1022" w:hanging="420"/>
      </w:pPr>
      <w:rPr>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3">
    <w:nsid w:val="64985757"/>
    <w:multiLevelType w:val="multilevel"/>
    <w:tmpl w:val="64985757"/>
    <w:lvl w:ilvl="0" w:tentative="0">
      <w:start w:val="1"/>
      <w:numFmt w:val="decimal"/>
      <w:pStyle w:val="25"/>
      <w:suff w:val="nothing"/>
      <w:lvlText w:val="%1."/>
      <w:lvlJc w:val="left"/>
      <w:pPr>
        <w:ind w:left="1022" w:hanging="420"/>
      </w:pPr>
      <w:rPr>
        <w:rFonts w:hint="eastAsia"/>
      </w:rPr>
    </w:lvl>
    <w:lvl w:ilvl="1" w:tentative="0">
      <w:start w:val="1"/>
      <w:numFmt w:val="lowerLetter"/>
      <w:lvlText w:val="%2)"/>
      <w:lvlJc w:val="left"/>
      <w:pPr>
        <w:ind w:left="727" w:hanging="420"/>
      </w:pPr>
    </w:lvl>
    <w:lvl w:ilvl="2" w:tentative="0">
      <w:start w:val="1"/>
      <w:numFmt w:val="lowerRoman"/>
      <w:lvlText w:val="%3."/>
      <w:lvlJc w:val="right"/>
      <w:pPr>
        <w:ind w:left="1147" w:hanging="420"/>
      </w:pPr>
    </w:lvl>
    <w:lvl w:ilvl="3" w:tentative="0">
      <w:start w:val="1"/>
      <w:numFmt w:val="decimal"/>
      <w:lvlText w:val="%4."/>
      <w:lvlJc w:val="left"/>
      <w:pPr>
        <w:ind w:left="1567" w:hanging="420"/>
      </w:pPr>
    </w:lvl>
    <w:lvl w:ilvl="4" w:tentative="0">
      <w:start w:val="1"/>
      <w:numFmt w:val="lowerLetter"/>
      <w:lvlText w:val="%5)"/>
      <w:lvlJc w:val="left"/>
      <w:pPr>
        <w:ind w:left="1987" w:hanging="420"/>
      </w:pPr>
    </w:lvl>
    <w:lvl w:ilvl="5" w:tentative="0">
      <w:start w:val="1"/>
      <w:numFmt w:val="lowerRoman"/>
      <w:lvlText w:val="%6."/>
      <w:lvlJc w:val="right"/>
      <w:pPr>
        <w:ind w:left="2407" w:hanging="420"/>
      </w:pPr>
    </w:lvl>
    <w:lvl w:ilvl="6" w:tentative="0">
      <w:start w:val="1"/>
      <w:numFmt w:val="decimal"/>
      <w:lvlText w:val="%7."/>
      <w:lvlJc w:val="left"/>
      <w:pPr>
        <w:ind w:left="2827" w:hanging="420"/>
      </w:pPr>
    </w:lvl>
    <w:lvl w:ilvl="7" w:tentative="0">
      <w:start w:val="1"/>
      <w:numFmt w:val="lowerLetter"/>
      <w:lvlText w:val="%8)"/>
      <w:lvlJc w:val="left"/>
      <w:pPr>
        <w:ind w:left="3247" w:hanging="420"/>
      </w:pPr>
    </w:lvl>
    <w:lvl w:ilvl="8" w:tentative="0">
      <w:start w:val="1"/>
      <w:numFmt w:val="lowerRoman"/>
      <w:lvlText w:val="%9."/>
      <w:lvlJc w:val="right"/>
      <w:pPr>
        <w:ind w:left="3667"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4"/>
    <w:rsid w:val="0016086F"/>
    <w:rsid w:val="001F2ADE"/>
    <w:rsid w:val="002C4A7D"/>
    <w:rsid w:val="00313701"/>
    <w:rsid w:val="00346CB6"/>
    <w:rsid w:val="00377FC7"/>
    <w:rsid w:val="005C3A55"/>
    <w:rsid w:val="005D576B"/>
    <w:rsid w:val="006F276D"/>
    <w:rsid w:val="00744763"/>
    <w:rsid w:val="009A7A71"/>
    <w:rsid w:val="009C099C"/>
    <w:rsid w:val="009C54B1"/>
    <w:rsid w:val="00C17D34"/>
    <w:rsid w:val="00DA6552"/>
    <w:rsid w:val="00E935A0"/>
    <w:rsid w:val="00E95316"/>
    <w:rsid w:val="00F14294"/>
    <w:rsid w:val="00F3352C"/>
    <w:rsid w:val="00F67CE3"/>
    <w:rsid w:val="00FB5F05"/>
    <w:rsid w:val="010E3499"/>
    <w:rsid w:val="012433BA"/>
    <w:rsid w:val="0140780A"/>
    <w:rsid w:val="01413B55"/>
    <w:rsid w:val="017503E7"/>
    <w:rsid w:val="017D3C50"/>
    <w:rsid w:val="018D7EEA"/>
    <w:rsid w:val="01935225"/>
    <w:rsid w:val="019F41A0"/>
    <w:rsid w:val="01A50DE8"/>
    <w:rsid w:val="01B2299A"/>
    <w:rsid w:val="01D14F98"/>
    <w:rsid w:val="01DB78EC"/>
    <w:rsid w:val="01DE48AE"/>
    <w:rsid w:val="01F3455A"/>
    <w:rsid w:val="020D6234"/>
    <w:rsid w:val="023D516B"/>
    <w:rsid w:val="0242780F"/>
    <w:rsid w:val="0246026E"/>
    <w:rsid w:val="0258656B"/>
    <w:rsid w:val="02675CE5"/>
    <w:rsid w:val="027F1C27"/>
    <w:rsid w:val="027F68C4"/>
    <w:rsid w:val="02823280"/>
    <w:rsid w:val="02855569"/>
    <w:rsid w:val="028C1A00"/>
    <w:rsid w:val="02905E39"/>
    <w:rsid w:val="02AA1809"/>
    <w:rsid w:val="02B118BB"/>
    <w:rsid w:val="02B63B69"/>
    <w:rsid w:val="02B66A42"/>
    <w:rsid w:val="02BD1547"/>
    <w:rsid w:val="02D54458"/>
    <w:rsid w:val="02F2798F"/>
    <w:rsid w:val="0302452E"/>
    <w:rsid w:val="030965B0"/>
    <w:rsid w:val="031445D2"/>
    <w:rsid w:val="033739EE"/>
    <w:rsid w:val="0358136E"/>
    <w:rsid w:val="036929AE"/>
    <w:rsid w:val="03965949"/>
    <w:rsid w:val="03A67AFD"/>
    <w:rsid w:val="03D46357"/>
    <w:rsid w:val="03E61A08"/>
    <w:rsid w:val="03F66B80"/>
    <w:rsid w:val="04096DE2"/>
    <w:rsid w:val="0409787F"/>
    <w:rsid w:val="04132EF8"/>
    <w:rsid w:val="041D01DF"/>
    <w:rsid w:val="0437683A"/>
    <w:rsid w:val="0438672E"/>
    <w:rsid w:val="044E642D"/>
    <w:rsid w:val="045C0FA9"/>
    <w:rsid w:val="04670F5E"/>
    <w:rsid w:val="046D2986"/>
    <w:rsid w:val="049B2534"/>
    <w:rsid w:val="049C6166"/>
    <w:rsid w:val="049D1992"/>
    <w:rsid w:val="04AE1E99"/>
    <w:rsid w:val="04B917C8"/>
    <w:rsid w:val="04C05FC1"/>
    <w:rsid w:val="04C33D74"/>
    <w:rsid w:val="04C81D54"/>
    <w:rsid w:val="04E45EF4"/>
    <w:rsid w:val="04E647A3"/>
    <w:rsid w:val="04E8442E"/>
    <w:rsid w:val="05162F76"/>
    <w:rsid w:val="05392C1B"/>
    <w:rsid w:val="05447672"/>
    <w:rsid w:val="05523790"/>
    <w:rsid w:val="056B3015"/>
    <w:rsid w:val="05992E75"/>
    <w:rsid w:val="0599391E"/>
    <w:rsid w:val="05A76F0E"/>
    <w:rsid w:val="05B64616"/>
    <w:rsid w:val="05CB5F45"/>
    <w:rsid w:val="05D8431A"/>
    <w:rsid w:val="06085250"/>
    <w:rsid w:val="060D433D"/>
    <w:rsid w:val="062E10AD"/>
    <w:rsid w:val="065232EA"/>
    <w:rsid w:val="06550884"/>
    <w:rsid w:val="06622FC7"/>
    <w:rsid w:val="06964443"/>
    <w:rsid w:val="06F60088"/>
    <w:rsid w:val="0719207B"/>
    <w:rsid w:val="07231FE8"/>
    <w:rsid w:val="0725372C"/>
    <w:rsid w:val="07CC425E"/>
    <w:rsid w:val="07DC11A9"/>
    <w:rsid w:val="07F2199E"/>
    <w:rsid w:val="07F5318B"/>
    <w:rsid w:val="080776DB"/>
    <w:rsid w:val="08174D8F"/>
    <w:rsid w:val="081D5D80"/>
    <w:rsid w:val="083F2E4C"/>
    <w:rsid w:val="084D0464"/>
    <w:rsid w:val="08724CBF"/>
    <w:rsid w:val="088646CC"/>
    <w:rsid w:val="089725D2"/>
    <w:rsid w:val="089C1959"/>
    <w:rsid w:val="08C40752"/>
    <w:rsid w:val="08C66CEC"/>
    <w:rsid w:val="08C72FE2"/>
    <w:rsid w:val="08C9556B"/>
    <w:rsid w:val="08FB5B02"/>
    <w:rsid w:val="090951BF"/>
    <w:rsid w:val="09096F4B"/>
    <w:rsid w:val="09194285"/>
    <w:rsid w:val="094533BE"/>
    <w:rsid w:val="095B7D46"/>
    <w:rsid w:val="095E06D9"/>
    <w:rsid w:val="096619A4"/>
    <w:rsid w:val="096B6C4F"/>
    <w:rsid w:val="09A80D34"/>
    <w:rsid w:val="09B2458F"/>
    <w:rsid w:val="09BC604C"/>
    <w:rsid w:val="09C41D62"/>
    <w:rsid w:val="09E35770"/>
    <w:rsid w:val="09E62D9F"/>
    <w:rsid w:val="09ED279D"/>
    <w:rsid w:val="09EE481B"/>
    <w:rsid w:val="09F01407"/>
    <w:rsid w:val="09F42E40"/>
    <w:rsid w:val="0A1A5E4D"/>
    <w:rsid w:val="0A3E0930"/>
    <w:rsid w:val="0A5B4D90"/>
    <w:rsid w:val="0A693E8C"/>
    <w:rsid w:val="0A8B6256"/>
    <w:rsid w:val="0AAE1E45"/>
    <w:rsid w:val="0AAF4FFC"/>
    <w:rsid w:val="0AB324B6"/>
    <w:rsid w:val="0AE62414"/>
    <w:rsid w:val="0AF723C7"/>
    <w:rsid w:val="0B316D16"/>
    <w:rsid w:val="0B3206F3"/>
    <w:rsid w:val="0B3366D9"/>
    <w:rsid w:val="0B4835D1"/>
    <w:rsid w:val="0B7E3C2C"/>
    <w:rsid w:val="0B85461D"/>
    <w:rsid w:val="0BD418CE"/>
    <w:rsid w:val="0BDF3CAB"/>
    <w:rsid w:val="0BE305C2"/>
    <w:rsid w:val="0BEC5D23"/>
    <w:rsid w:val="0BED3354"/>
    <w:rsid w:val="0C4A5091"/>
    <w:rsid w:val="0C5E3218"/>
    <w:rsid w:val="0C997FB0"/>
    <w:rsid w:val="0CD01403"/>
    <w:rsid w:val="0CE13D51"/>
    <w:rsid w:val="0CE91A73"/>
    <w:rsid w:val="0D174A03"/>
    <w:rsid w:val="0D3D7E7A"/>
    <w:rsid w:val="0D63482E"/>
    <w:rsid w:val="0D6B571E"/>
    <w:rsid w:val="0DBE2A61"/>
    <w:rsid w:val="0DCB14B7"/>
    <w:rsid w:val="0DD0687A"/>
    <w:rsid w:val="0DFA6E21"/>
    <w:rsid w:val="0DFD1FFA"/>
    <w:rsid w:val="0E0F1C1B"/>
    <w:rsid w:val="0E105DBE"/>
    <w:rsid w:val="0E2661E8"/>
    <w:rsid w:val="0E4864C2"/>
    <w:rsid w:val="0E541106"/>
    <w:rsid w:val="0E563B9C"/>
    <w:rsid w:val="0E737CDF"/>
    <w:rsid w:val="0E7D659E"/>
    <w:rsid w:val="0E8616BB"/>
    <w:rsid w:val="0EA068B7"/>
    <w:rsid w:val="0EC356B6"/>
    <w:rsid w:val="0F025CCD"/>
    <w:rsid w:val="0F1107E1"/>
    <w:rsid w:val="0F3F4841"/>
    <w:rsid w:val="0F5833C0"/>
    <w:rsid w:val="0F5B4570"/>
    <w:rsid w:val="0F601A1F"/>
    <w:rsid w:val="0F7517F9"/>
    <w:rsid w:val="0F7C225C"/>
    <w:rsid w:val="0F8C0758"/>
    <w:rsid w:val="0F960668"/>
    <w:rsid w:val="0FB54167"/>
    <w:rsid w:val="0FCE209A"/>
    <w:rsid w:val="0FE06C45"/>
    <w:rsid w:val="0FE265D4"/>
    <w:rsid w:val="0FE56881"/>
    <w:rsid w:val="1008554F"/>
    <w:rsid w:val="100C2C74"/>
    <w:rsid w:val="101C5B83"/>
    <w:rsid w:val="10832DE5"/>
    <w:rsid w:val="109D1E56"/>
    <w:rsid w:val="10A672E7"/>
    <w:rsid w:val="10C14E0B"/>
    <w:rsid w:val="10C202A1"/>
    <w:rsid w:val="10C413BF"/>
    <w:rsid w:val="10D85601"/>
    <w:rsid w:val="10FE1F68"/>
    <w:rsid w:val="115D58BA"/>
    <w:rsid w:val="116E2FD6"/>
    <w:rsid w:val="11B67F4E"/>
    <w:rsid w:val="11BA7FD0"/>
    <w:rsid w:val="11D31AE4"/>
    <w:rsid w:val="11DD4219"/>
    <w:rsid w:val="11E30035"/>
    <w:rsid w:val="11E81692"/>
    <w:rsid w:val="11EE08F7"/>
    <w:rsid w:val="12015F40"/>
    <w:rsid w:val="122C46B9"/>
    <w:rsid w:val="123D60A1"/>
    <w:rsid w:val="12633880"/>
    <w:rsid w:val="126478EF"/>
    <w:rsid w:val="1292507C"/>
    <w:rsid w:val="12944EAF"/>
    <w:rsid w:val="129E1A29"/>
    <w:rsid w:val="12A1324A"/>
    <w:rsid w:val="12A74327"/>
    <w:rsid w:val="12AB5F27"/>
    <w:rsid w:val="12B450DD"/>
    <w:rsid w:val="12C7787E"/>
    <w:rsid w:val="12CF792E"/>
    <w:rsid w:val="12D508B9"/>
    <w:rsid w:val="12ED1EA8"/>
    <w:rsid w:val="12F04048"/>
    <w:rsid w:val="12F2624D"/>
    <w:rsid w:val="12F750C1"/>
    <w:rsid w:val="12F843B1"/>
    <w:rsid w:val="13001A68"/>
    <w:rsid w:val="13100132"/>
    <w:rsid w:val="13190D64"/>
    <w:rsid w:val="133948B1"/>
    <w:rsid w:val="13690F68"/>
    <w:rsid w:val="139F50F9"/>
    <w:rsid w:val="13AD610B"/>
    <w:rsid w:val="13B02D92"/>
    <w:rsid w:val="13B80A3E"/>
    <w:rsid w:val="13F16387"/>
    <w:rsid w:val="13FD1DA3"/>
    <w:rsid w:val="13FF67B1"/>
    <w:rsid w:val="140530EB"/>
    <w:rsid w:val="14217F16"/>
    <w:rsid w:val="14277186"/>
    <w:rsid w:val="14282AB8"/>
    <w:rsid w:val="147F710D"/>
    <w:rsid w:val="148D7C8A"/>
    <w:rsid w:val="14A90DB4"/>
    <w:rsid w:val="14B11DEB"/>
    <w:rsid w:val="14B658BC"/>
    <w:rsid w:val="14BD5BEB"/>
    <w:rsid w:val="14DE445E"/>
    <w:rsid w:val="14EB784E"/>
    <w:rsid w:val="15033923"/>
    <w:rsid w:val="150F7ABC"/>
    <w:rsid w:val="151D6356"/>
    <w:rsid w:val="151D77B6"/>
    <w:rsid w:val="155B77C1"/>
    <w:rsid w:val="156475CD"/>
    <w:rsid w:val="15657F0D"/>
    <w:rsid w:val="157C3079"/>
    <w:rsid w:val="157C5EE8"/>
    <w:rsid w:val="15843E73"/>
    <w:rsid w:val="15AA70C1"/>
    <w:rsid w:val="15E34C67"/>
    <w:rsid w:val="15EC2C98"/>
    <w:rsid w:val="15F15036"/>
    <w:rsid w:val="16163E7D"/>
    <w:rsid w:val="163D7FA3"/>
    <w:rsid w:val="166370EF"/>
    <w:rsid w:val="166A585F"/>
    <w:rsid w:val="16BD7716"/>
    <w:rsid w:val="16DA6804"/>
    <w:rsid w:val="16E40C34"/>
    <w:rsid w:val="17533B27"/>
    <w:rsid w:val="176238AC"/>
    <w:rsid w:val="176A2000"/>
    <w:rsid w:val="1793322E"/>
    <w:rsid w:val="179C41CD"/>
    <w:rsid w:val="179F0CD9"/>
    <w:rsid w:val="17BE4FF3"/>
    <w:rsid w:val="17BF76EF"/>
    <w:rsid w:val="17E31B96"/>
    <w:rsid w:val="182E385F"/>
    <w:rsid w:val="18350AEC"/>
    <w:rsid w:val="183D656D"/>
    <w:rsid w:val="185B34F5"/>
    <w:rsid w:val="185D0E82"/>
    <w:rsid w:val="18710D8D"/>
    <w:rsid w:val="18725659"/>
    <w:rsid w:val="18742AD4"/>
    <w:rsid w:val="189E4103"/>
    <w:rsid w:val="18CB3FD9"/>
    <w:rsid w:val="19067690"/>
    <w:rsid w:val="19114BD1"/>
    <w:rsid w:val="192B5F25"/>
    <w:rsid w:val="196A3391"/>
    <w:rsid w:val="19B0340A"/>
    <w:rsid w:val="19C50311"/>
    <w:rsid w:val="19CE199D"/>
    <w:rsid w:val="19D003BD"/>
    <w:rsid w:val="19DF4205"/>
    <w:rsid w:val="1A1869B9"/>
    <w:rsid w:val="1A3704D8"/>
    <w:rsid w:val="1A471F24"/>
    <w:rsid w:val="1A4F3753"/>
    <w:rsid w:val="1A58798F"/>
    <w:rsid w:val="1A874721"/>
    <w:rsid w:val="1A8B01F1"/>
    <w:rsid w:val="1A941C25"/>
    <w:rsid w:val="1AB312F5"/>
    <w:rsid w:val="1ABF64C4"/>
    <w:rsid w:val="1AC506E4"/>
    <w:rsid w:val="1AF03A7E"/>
    <w:rsid w:val="1AFA607A"/>
    <w:rsid w:val="1AFE1FDE"/>
    <w:rsid w:val="1B813C5F"/>
    <w:rsid w:val="1B937B36"/>
    <w:rsid w:val="1BBA5352"/>
    <w:rsid w:val="1BF53596"/>
    <w:rsid w:val="1BF939B0"/>
    <w:rsid w:val="1C0C7FE9"/>
    <w:rsid w:val="1C3F37B9"/>
    <w:rsid w:val="1C455EBC"/>
    <w:rsid w:val="1C54130B"/>
    <w:rsid w:val="1C5B5D3C"/>
    <w:rsid w:val="1C6E2A7E"/>
    <w:rsid w:val="1C791625"/>
    <w:rsid w:val="1C7D50E4"/>
    <w:rsid w:val="1C8256F0"/>
    <w:rsid w:val="1CA40C0C"/>
    <w:rsid w:val="1CA41CA7"/>
    <w:rsid w:val="1CAB56B7"/>
    <w:rsid w:val="1CB00424"/>
    <w:rsid w:val="1CD57C4F"/>
    <w:rsid w:val="1CDC2E5E"/>
    <w:rsid w:val="1D01266F"/>
    <w:rsid w:val="1D050F30"/>
    <w:rsid w:val="1D530A2E"/>
    <w:rsid w:val="1D570909"/>
    <w:rsid w:val="1D5C5F03"/>
    <w:rsid w:val="1D630C1C"/>
    <w:rsid w:val="1D6B1201"/>
    <w:rsid w:val="1D6E2B00"/>
    <w:rsid w:val="1D877127"/>
    <w:rsid w:val="1DC04E51"/>
    <w:rsid w:val="1DC465EA"/>
    <w:rsid w:val="1DD62741"/>
    <w:rsid w:val="1DDE74F2"/>
    <w:rsid w:val="1DFC160E"/>
    <w:rsid w:val="1E2505D9"/>
    <w:rsid w:val="1E407461"/>
    <w:rsid w:val="1E593F68"/>
    <w:rsid w:val="1E612C46"/>
    <w:rsid w:val="1E8250D7"/>
    <w:rsid w:val="1ECA7CF7"/>
    <w:rsid w:val="1EDB5F2C"/>
    <w:rsid w:val="1EE321BE"/>
    <w:rsid w:val="1EE957FB"/>
    <w:rsid w:val="1F075F8C"/>
    <w:rsid w:val="1F286A46"/>
    <w:rsid w:val="1F3B01A3"/>
    <w:rsid w:val="1F5C6EB9"/>
    <w:rsid w:val="1F730527"/>
    <w:rsid w:val="1F7B4BB2"/>
    <w:rsid w:val="1F850999"/>
    <w:rsid w:val="1F8C06F6"/>
    <w:rsid w:val="1FA32504"/>
    <w:rsid w:val="1FAB0AD1"/>
    <w:rsid w:val="1FB65896"/>
    <w:rsid w:val="1FC44BD5"/>
    <w:rsid w:val="1FD94B95"/>
    <w:rsid w:val="1FDB6DAF"/>
    <w:rsid w:val="1FE64981"/>
    <w:rsid w:val="1FFB714F"/>
    <w:rsid w:val="200159E9"/>
    <w:rsid w:val="201B35BD"/>
    <w:rsid w:val="2044636C"/>
    <w:rsid w:val="205D317D"/>
    <w:rsid w:val="206918C5"/>
    <w:rsid w:val="206D6546"/>
    <w:rsid w:val="209441D4"/>
    <w:rsid w:val="20B922A2"/>
    <w:rsid w:val="20BE0AF9"/>
    <w:rsid w:val="20D6378A"/>
    <w:rsid w:val="20DF3D97"/>
    <w:rsid w:val="20FE0D3B"/>
    <w:rsid w:val="21096FCC"/>
    <w:rsid w:val="210F7EC0"/>
    <w:rsid w:val="21111D73"/>
    <w:rsid w:val="212B59D5"/>
    <w:rsid w:val="212C6D0F"/>
    <w:rsid w:val="215A40D4"/>
    <w:rsid w:val="216D3331"/>
    <w:rsid w:val="21786AC3"/>
    <w:rsid w:val="21791B87"/>
    <w:rsid w:val="21886523"/>
    <w:rsid w:val="218B782F"/>
    <w:rsid w:val="21A80664"/>
    <w:rsid w:val="21B82F1B"/>
    <w:rsid w:val="21B84FF9"/>
    <w:rsid w:val="21C05F10"/>
    <w:rsid w:val="21D27CD5"/>
    <w:rsid w:val="221670A8"/>
    <w:rsid w:val="221E5E73"/>
    <w:rsid w:val="22392F01"/>
    <w:rsid w:val="223F687B"/>
    <w:rsid w:val="22585FFD"/>
    <w:rsid w:val="226325F0"/>
    <w:rsid w:val="22937C46"/>
    <w:rsid w:val="22993568"/>
    <w:rsid w:val="22BC0995"/>
    <w:rsid w:val="22BD0154"/>
    <w:rsid w:val="22D674A2"/>
    <w:rsid w:val="22D70F65"/>
    <w:rsid w:val="22D7582C"/>
    <w:rsid w:val="22D816C9"/>
    <w:rsid w:val="22F051A0"/>
    <w:rsid w:val="22FD24D8"/>
    <w:rsid w:val="230C02D8"/>
    <w:rsid w:val="2330696B"/>
    <w:rsid w:val="233319B7"/>
    <w:rsid w:val="233C02D1"/>
    <w:rsid w:val="23AF2023"/>
    <w:rsid w:val="23DD18C2"/>
    <w:rsid w:val="23E974DB"/>
    <w:rsid w:val="23F079CC"/>
    <w:rsid w:val="240565FF"/>
    <w:rsid w:val="240934D2"/>
    <w:rsid w:val="241753B1"/>
    <w:rsid w:val="241E2814"/>
    <w:rsid w:val="24450ED7"/>
    <w:rsid w:val="244B7237"/>
    <w:rsid w:val="24572007"/>
    <w:rsid w:val="24725028"/>
    <w:rsid w:val="247A186E"/>
    <w:rsid w:val="247D16CA"/>
    <w:rsid w:val="24B267E3"/>
    <w:rsid w:val="24D00175"/>
    <w:rsid w:val="24D76710"/>
    <w:rsid w:val="24E3712E"/>
    <w:rsid w:val="251A0EEA"/>
    <w:rsid w:val="25372753"/>
    <w:rsid w:val="254E5D98"/>
    <w:rsid w:val="256B0D88"/>
    <w:rsid w:val="257040F5"/>
    <w:rsid w:val="25BC4FB2"/>
    <w:rsid w:val="25C1051D"/>
    <w:rsid w:val="25C504E2"/>
    <w:rsid w:val="25D61AF2"/>
    <w:rsid w:val="25D731FE"/>
    <w:rsid w:val="25E21244"/>
    <w:rsid w:val="261609FE"/>
    <w:rsid w:val="2654203B"/>
    <w:rsid w:val="265F6566"/>
    <w:rsid w:val="26757E17"/>
    <w:rsid w:val="26930E04"/>
    <w:rsid w:val="26A44111"/>
    <w:rsid w:val="26B6314A"/>
    <w:rsid w:val="26B77887"/>
    <w:rsid w:val="26DB64D3"/>
    <w:rsid w:val="2704334C"/>
    <w:rsid w:val="270B1511"/>
    <w:rsid w:val="274A6191"/>
    <w:rsid w:val="2753693F"/>
    <w:rsid w:val="27641E4F"/>
    <w:rsid w:val="279A0C3C"/>
    <w:rsid w:val="27B67F3A"/>
    <w:rsid w:val="27BD30BA"/>
    <w:rsid w:val="27C42347"/>
    <w:rsid w:val="27CE327B"/>
    <w:rsid w:val="27DB3760"/>
    <w:rsid w:val="28034F79"/>
    <w:rsid w:val="281A5ED1"/>
    <w:rsid w:val="28324080"/>
    <w:rsid w:val="28676C92"/>
    <w:rsid w:val="287026AF"/>
    <w:rsid w:val="28764613"/>
    <w:rsid w:val="288310E9"/>
    <w:rsid w:val="28834FC2"/>
    <w:rsid w:val="288825D4"/>
    <w:rsid w:val="28AC6EE0"/>
    <w:rsid w:val="28BB08C2"/>
    <w:rsid w:val="28BE0B56"/>
    <w:rsid w:val="28E545D8"/>
    <w:rsid w:val="28FA7E87"/>
    <w:rsid w:val="292D0C16"/>
    <w:rsid w:val="29411427"/>
    <w:rsid w:val="294161A7"/>
    <w:rsid w:val="294E5826"/>
    <w:rsid w:val="297118CA"/>
    <w:rsid w:val="297F10F2"/>
    <w:rsid w:val="29964115"/>
    <w:rsid w:val="29987D56"/>
    <w:rsid w:val="29B16503"/>
    <w:rsid w:val="29D5631F"/>
    <w:rsid w:val="29E54A3D"/>
    <w:rsid w:val="29EB02D3"/>
    <w:rsid w:val="2A17793E"/>
    <w:rsid w:val="2A3314DA"/>
    <w:rsid w:val="2A362875"/>
    <w:rsid w:val="2A440D04"/>
    <w:rsid w:val="2A7B2579"/>
    <w:rsid w:val="2A9B5F08"/>
    <w:rsid w:val="2AB37CC9"/>
    <w:rsid w:val="2AB621F3"/>
    <w:rsid w:val="2AC546D3"/>
    <w:rsid w:val="2AC8779D"/>
    <w:rsid w:val="2AD15C4A"/>
    <w:rsid w:val="2AE56657"/>
    <w:rsid w:val="2AF444CE"/>
    <w:rsid w:val="2B3073C1"/>
    <w:rsid w:val="2B540B3E"/>
    <w:rsid w:val="2B543FE9"/>
    <w:rsid w:val="2B841037"/>
    <w:rsid w:val="2B9E2286"/>
    <w:rsid w:val="2BC44E5E"/>
    <w:rsid w:val="2BCA408E"/>
    <w:rsid w:val="2BDB772A"/>
    <w:rsid w:val="2BDD0FEA"/>
    <w:rsid w:val="2BEB1168"/>
    <w:rsid w:val="2C144207"/>
    <w:rsid w:val="2C262053"/>
    <w:rsid w:val="2C467B08"/>
    <w:rsid w:val="2C57781A"/>
    <w:rsid w:val="2C637EEA"/>
    <w:rsid w:val="2C656736"/>
    <w:rsid w:val="2C783AFB"/>
    <w:rsid w:val="2CAA01DB"/>
    <w:rsid w:val="2CB13E16"/>
    <w:rsid w:val="2CC241E7"/>
    <w:rsid w:val="2CFC55F7"/>
    <w:rsid w:val="2D046FD2"/>
    <w:rsid w:val="2D1B1B1A"/>
    <w:rsid w:val="2D1D54B0"/>
    <w:rsid w:val="2D371446"/>
    <w:rsid w:val="2D4012AD"/>
    <w:rsid w:val="2D527CEF"/>
    <w:rsid w:val="2D8279D0"/>
    <w:rsid w:val="2D9B720D"/>
    <w:rsid w:val="2DAD3180"/>
    <w:rsid w:val="2DB45B90"/>
    <w:rsid w:val="2DDD045F"/>
    <w:rsid w:val="2DE007E8"/>
    <w:rsid w:val="2DF0120B"/>
    <w:rsid w:val="2E0E4CF2"/>
    <w:rsid w:val="2E1C6390"/>
    <w:rsid w:val="2E480642"/>
    <w:rsid w:val="2E524D4F"/>
    <w:rsid w:val="2E83524F"/>
    <w:rsid w:val="2E840ADF"/>
    <w:rsid w:val="2E852ACB"/>
    <w:rsid w:val="2E8C29AD"/>
    <w:rsid w:val="2EB144FE"/>
    <w:rsid w:val="2EC85276"/>
    <w:rsid w:val="2EDE2DA0"/>
    <w:rsid w:val="2F027667"/>
    <w:rsid w:val="2F2007D5"/>
    <w:rsid w:val="2F2A224B"/>
    <w:rsid w:val="2F365F17"/>
    <w:rsid w:val="2F553135"/>
    <w:rsid w:val="2F5E395A"/>
    <w:rsid w:val="2F612465"/>
    <w:rsid w:val="2F72320B"/>
    <w:rsid w:val="2F742824"/>
    <w:rsid w:val="2F814553"/>
    <w:rsid w:val="2FBA571E"/>
    <w:rsid w:val="2FD95EAD"/>
    <w:rsid w:val="2FE86258"/>
    <w:rsid w:val="2FF35679"/>
    <w:rsid w:val="302B2477"/>
    <w:rsid w:val="304354B6"/>
    <w:rsid w:val="306D1374"/>
    <w:rsid w:val="30896803"/>
    <w:rsid w:val="30977FC1"/>
    <w:rsid w:val="309F6110"/>
    <w:rsid w:val="30CB7F31"/>
    <w:rsid w:val="30CC2A5D"/>
    <w:rsid w:val="30D71865"/>
    <w:rsid w:val="30EF1665"/>
    <w:rsid w:val="31035773"/>
    <w:rsid w:val="31102E0C"/>
    <w:rsid w:val="311C5579"/>
    <w:rsid w:val="31296433"/>
    <w:rsid w:val="31296FBB"/>
    <w:rsid w:val="312B4E4D"/>
    <w:rsid w:val="317F1B24"/>
    <w:rsid w:val="318A0335"/>
    <w:rsid w:val="3193133C"/>
    <w:rsid w:val="31943D8F"/>
    <w:rsid w:val="31A75A41"/>
    <w:rsid w:val="31BA1269"/>
    <w:rsid w:val="31C23619"/>
    <w:rsid w:val="31F679F5"/>
    <w:rsid w:val="322120B5"/>
    <w:rsid w:val="322238DD"/>
    <w:rsid w:val="3236538A"/>
    <w:rsid w:val="323A6436"/>
    <w:rsid w:val="32400D7C"/>
    <w:rsid w:val="324C2566"/>
    <w:rsid w:val="325F6AAA"/>
    <w:rsid w:val="32626F16"/>
    <w:rsid w:val="32850499"/>
    <w:rsid w:val="32874A8C"/>
    <w:rsid w:val="32914320"/>
    <w:rsid w:val="32C361A5"/>
    <w:rsid w:val="32D81273"/>
    <w:rsid w:val="32EE7987"/>
    <w:rsid w:val="32FE51A7"/>
    <w:rsid w:val="330378B7"/>
    <w:rsid w:val="33095129"/>
    <w:rsid w:val="331559F6"/>
    <w:rsid w:val="331629E0"/>
    <w:rsid w:val="33183554"/>
    <w:rsid w:val="33234E37"/>
    <w:rsid w:val="33591EEE"/>
    <w:rsid w:val="336F2025"/>
    <w:rsid w:val="338520EA"/>
    <w:rsid w:val="33900E11"/>
    <w:rsid w:val="33B7470B"/>
    <w:rsid w:val="33BC5A58"/>
    <w:rsid w:val="33D708FF"/>
    <w:rsid w:val="33D87C69"/>
    <w:rsid w:val="33F8453F"/>
    <w:rsid w:val="3402391F"/>
    <w:rsid w:val="34042D9F"/>
    <w:rsid w:val="341E4F86"/>
    <w:rsid w:val="34235822"/>
    <w:rsid w:val="34285A9C"/>
    <w:rsid w:val="342D6234"/>
    <w:rsid w:val="34376077"/>
    <w:rsid w:val="343A1ABB"/>
    <w:rsid w:val="3468260B"/>
    <w:rsid w:val="347049B4"/>
    <w:rsid w:val="34CD5CB6"/>
    <w:rsid w:val="34D2441F"/>
    <w:rsid w:val="34E962B6"/>
    <w:rsid w:val="34F660A1"/>
    <w:rsid w:val="34FF5924"/>
    <w:rsid w:val="350237CB"/>
    <w:rsid w:val="35072EA3"/>
    <w:rsid w:val="35254FF2"/>
    <w:rsid w:val="3527337B"/>
    <w:rsid w:val="352D6861"/>
    <w:rsid w:val="352E5A52"/>
    <w:rsid w:val="355F7164"/>
    <w:rsid w:val="3569246B"/>
    <w:rsid w:val="358A2DE8"/>
    <w:rsid w:val="35E412EC"/>
    <w:rsid w:val="35EE278B"/>
    <w:rsid w:val="360E67CC"/>
    <w:rsid w:val="3611290A"/>
    <w:rsid w:val="36672C91"/>
    <w:rsid w:val="368C0035"/>
    <w:rsid w:val="368E22EA"/>
    <w:rsid w:val="36A52C28"/>
    <w:rsid w:val="36BF1050"/>
    <w:rsid w:val="36C240E7"/>
    <w:rsid w:val="36C24F19"/>
    <w:rsid w:val="36D027C7"/>
    <w:rsid w:val="36F00088"/>
    <w:rsid w:val="36F0545C"/>
    <w:rsid w:val="36F3426D"/>
    <w:rsid w:val="36F66EBA"/>
    <w:rsid w:val="371D4AAE"/>
    <w:rsid w:val="372017D9"/>
    <w:rsid w:val="37244F10"/>
    <w:rsid w:val="372B747D"/>
    <w:rsid w:val="37314EC3"/>
    <w:rsid w:val="373E22F2"/>
    <w:rsid w:val="3752164D"/>
    <w:rsid w:val="375413D2"/>
    <w:rsid w:val="37764688"/>
    <w:rsid w:val="37B45900"/>
    <w:rsid w:val="37C47044"/>
    <w:rsid w:val="37C76C12"/>
    <w:rsid w:val="37D6713A"/>
    <w:rsid w:val="37F6204F"/>
    <w:rsid w:val="382A71D0"/>
    <w:rsid w:val="382C0CEF"/>
    <w:rsid w:val="382C4DF7"/>
    <w:rsid w:val="385126C3"/>
    <w:rsid w:val="38C960A0"/>
    <w:rsid w:val="38D13F5D"/>
    <w:rsid w:val="38DF53D4"/>
    <w:rsid w:val="38F16C58"/>
    <w:rsid w:val="38F21D74"/>
    <w:rsid w:val="38F52660"/>
    <w:rsid w:val="39024192"/>
    <w:rsid w:val="3903054E"/>
    <w:rsid w:val="39656DCF"/>
    <w:rsid w:val="397E7A71"/>
    <w:rsid w:val="398A6B64"/>
    <w:rsid w:val="39931424"/>
    <w:rsid w:val="39BA0712"/>
    <w:rsid w:val="39BB5D00"/>
    <w:rsid w:val="39BF26AE"/>
    <w:rsid w:val="39C0179F"/>
    <w:rsid w:val="39DC6EC6"/>
    <w:rsid w:val="3A0D520E"/>
    <w:rsid w:val="3A166048"/>
    <w:rsid w:val="3A2D5412"/>
    <w:rsid w:val="3A602736"/>
    <w:rsid w:val="3A635FF3"/>
    <w:rsid w:val="3A6670CC"/>
    <w:rsid w:val="3A7061E1"/>
    <w:rsid w:val="3A9F0F08"/>
    <w:rsid w:val="3AA03A5C"/>
    <w:rsid w:val="3AAC0823"/>
    <w:rsid w:val="3AE25D36"/>
    <w:rsid w:val="3B156011"/>
    <w:rsid w:val="3B395586"/>
    <w:rsid w:val="3B4E14F1"/>
    <w:rsid w:val="3B6C6CB1"/>
    <w:rsid w:val="3BA30A2B"/>
    <w:rsid w:val="3BB5480C"/>
    <w:rsid w:val="3BD246FF"/>
    <w:rsid w:val="3BDE09FA"/>
    <w:rsid w:val="3BEE5D39"/>
    <w:rsid w:val="3BF637C2"/>
    <w:rsid w:val="3C123C16"/>
    <w:rsid w:val="3C167A0F"/>
    <w:rsid w:val="3C34527F"/>
    <w:rsid w:val="3C36294C"/>
    <w:rsid w:val="3C387D6F"/>
    <w:rsid w:val="3C467F40"/>
    <w:rsid w:val="3C477AF3"/>
    <w:rsid w:val="3C4F6586"/>
    <w:rsid w:val="3C97785B"/>
    <w:rsid w:val="3CC76B21"/>
    <w:rsid w:val="3CD9541E"/>
    <w:rsid w:val="3CE028EB"/>
    <w:rsid w:val="3CF11F47"/>
    <w:rsid w:val="3CF73880"/>
    <w:rsid w:val="3D094CB3"/>
    <w:rsid w:val="3D1B65DC"/>
    <w:rsid w:val="3D207486"/>
    <w:rsid w:val="3D290117"/>
    <w:rsid w:val="3D43245C"/>
    <w:rsid w:val="3D587633"/>
    <w:rsid w:val="3D674036"/>
    <w:rsid w:val="3D684982"/>
    <w:rsid w:val="3D6F4B12"/>
    <w:rsid w:val="3D86267E"/>
    <w:rsid w:val="3D8926DE"/>
    <w:rsid w:val="3DA175DC"/>
    <w:rsid w:val="3DA94D01"/>
    <w:rsid w:val="3DC0103E"/>
    <w:rsid w:val="3DE9391E"/>
    <w:rsid w:val="3DEB3199"/>
    <w:rsid w:val="3E4149F5"/>
    <w:rsid w:val="3E543CBD"/>
    <w:rsid w:val="3E5A5D80"/>
    <w:rsid w:val="3E810408"/>
    <w:rsid w:val="3E840B5F"/>
    <w:rsid w:val="3E8F7979"/>
    <w:rsid w:val="3E9E1FAE"/>
    <w:rsid w:val="3E9E434E"/>
    <w:rsid w:val="3ECB6DAC"/>
    <w:rsid w:val="3EDB5832"/>
    <w:rsid w:val="3EE36F29"/>
    <w:rsid w:val="3EEA5CF8"/>
    <w:rsid w:val="3EF01EC0"/>
    <w:rsid w:val="3EF65E7E"/>
    <w:rsid w:val="3F1C770D"/>
    <w:rsid w:val="3F385A7D"/>
    <w:rsid w:val="3F84240E"/>
    <w:rsid w:val="3F9F6CEF"/>
    <w:rsid w:val="3FAC037D"/>
    <w:rsid w:val="3FC93173"/>
    <w:rsid w:val="3FD51A60"/>
    <w:rsid w:val="3FE02CEE"/>
    <w:rsid w:val="3FF06C24"/>
    <w:rsid w:val="3FFA29BA"/>
    <w:rsid w:val="400E33CB"/>
    <w:rsid w:val="40107D0E"/>
    <w:rsid w:val="40691EE7"/>
    <w:rsid w:val="406C68DA"/>
    <w:rsid w:val="40EF6120"/>
    <w:rsid w:val="4106326E"/>
    <w:rsid w:val="412276DB"/>
    <w:rsid w:val="417D31B5"/>
    <w:rsid w:val="417D75FB"/>
    <w:rsid w:val="41881375"/>
    <w:rsid w:val="419468AE"/>
    <w:rsid w:val="41BC3E04"/>
    <w:rsid w:val="41DA6F79"/>
    <w:rsid w:val="41F175BB"/>
    <w:rsid w:val="4217091F"/>
    <w:rsid w:val="422A73EC"/>
    <w:rsid w:val="42450BC1"/>
    <w:rsid w:val="424F457D"/>
    <w:rsid w:val="42511940"/>
    <w:rsid w:val="42807C63"/>
    <w:rsid w:val="42907DEA"/>
    <w:rsid w:val="42996238"/>
    <w:rsid w:val="42A24960"/>
    <w:rsid w:val="42B63B21"/>
    <w:rsid w:val="42C3608B"/>
    <w:rsid w:val="42D47515"/>
    <w:rsid w:val="42E02099"/>
    <w:rsid w:val="42E553A1"/>
    <w:rsid w:val="431D4FE6"/>
    <w:rsid w:val="43321FC5"/>
    <w:rsid w:val="43373DAF"/>
    <w:rsid w:val="43511922"/>
    <w:rsid w:val="43900566"/>
    <w:rsid w:val="43991E60"/>
    <w:rsid w:val="43BF01FE"/>
    <w:rsid w:val="43CF34E0"/>
    <w:rsid w:val="43F57577"/>
    <w:rsid w:val="43FE2548"/>
    <w:rsid w:val="4417615B"/>
    <w:rsid w:val="44517064"/>
    <w:rsid w:val="44577B0E"/>
    <w:rsid w:val="447D2CDB"/>
    <w:rsid w:val="4480584A"/>
    <w:rsid w:val="449E6E0B"/>
    <w:rsid w:val="44BA054A"/>
    <w:rsid w:val="44C91833"/>
    <w:rsid w:val="44ED0941"/>
    <w:rsid w:val="44F85EAE"/>
    <w:rsid w:val="4505241C"/>
    <w:rsid w:val="45070CD6"/>
    <w:rsid w:val="45135239"/>
    <w:rsid w:val="45154A1A"/>
    <w:rsid w:val="452A5A47"/>
    <w:rsid w:val="45365866"/>
    <w:rsid w:val="45435840"/>
    <w:rsid w:val="4569764E"/>
    <w:rsid w:val="45FE6FB8"/>
    <w:rsid w:val="46062752"/>
    <w:rsid w:val="46152642"/>
    <w:rsid w:val="46161D7D"/>
    <w:rsid w:val="464200A6"/>
    <w:rsid w:val="464D26CE"/>
    <w:rsid w:val="464E6665"/>
    <w:rsid w:val="466138AD"/>
    <w:rsid w:val="467C1E15"/>
    <w:rsid w:val="46975BBB"/>
    <w:rsid w:val="46A93D11"/>
    <w:rsid w:val="46AC72A3"/>
    <w:rsid w:val="46B86228"/>
    <w:rsid w:val="46BF16C0"/>
    <w:rsid w:val="46C24800"/>
    <w:rsid w:val="46C90A57"/>
    <w:rsid w:val="46D84DE0"/>
    <w:rsid w:val="46DD18D4"/>
    <w:rsid w:val="46E36BD4"/>
    <w:rsid w:val="46F12ABC"/>
    <w:rsid w:val="47776BE7"/>
    <w:rsid w:val="47860AB5"/>
    <w:rsid w:val="47922764"/>
    <w:rsid w:val="47A32644"/>
    <w:rsid w:val="47A61BA7"/>
    <w:rsid w:val="47A9074A"/>
    <w:rsid w:val="47AB0FEB"/>
    <w:rsid w:val="47B91280"/>
    <w:rsid w:val="47E15E34"/>
    <w:rsid w:val="47F66A91"/>
    <w:rsid w:val="4809769F"/>
    <w:rsid w:val="48132AE1"/>
    <w:rsid w:val="482C18BE"/>
    <w:rsid w:val="48353945"/>
    <w:rsid w:val="483C47C7"/>
    <w:rsid w:val="48402491"/>
    <w:rsid w:val="484A7942"/>
    <w:rsid w:val="484E2759"/>
    <w:rsid w:val="484E3272"/>
    <w:rsid w:val="48655AEB"/>
    <w:rsid w:val="48754169"/>
    <w:rsid w:val="48906D4D"/>
    <w:rsid w:val="48926B34"/>
    <w:rsid w:val="489C35C0"/>
    <w:rsid w:val="48B705D8"/>
    <w:rsid w:val="49082C5D"/>
    <w:rsid w:val="490D31FC"/>
    <w:rsid w:val="49134828"/>
    <w:rsid w:val="492544C8"/>
    <w:rsid w:val="492C12E5"/>
    <w:rsid w:val="493B522E"/>
    <w:rsid w:val="493F4BCD"/>
    <w:rsid w:val="4973351D"/>
    <w:rsid w:val="49B63DA4"/>
    <w:rsid w:val="49C30AC6"/>
    <w:rsid w:val="49CC607A"/>
    <w:rsid w:val="49E21FC4"/>
    <w:rsid w:val="49E31471"/>
    <w:rsid w:val="4A17373A"/>
    <w:rsid w:val="4A230604"/>
    <w:rsid w:val="4A3A1FD7"/>
    <w:rsid w:val="4A6A2F65"/>
    <w:rsid w:val="4A88424A"/>
    <w:rsid w:val="4AC1699F"/>
    <w:rsid w:val="4AC545D2"/>
    <w:rsid w:val="4AE01F4C"/>
    <w:rsid w:val="4AEF3391"/>
    <w:rsid w:val="4AFE5FD8"/>
    <w:rsid w:val="4AFF47BA"/>
    <w:rsid w:val="4B2B7182"/>
    <w:rsid w:val="4B5E3E78"/>
    <w:rsid w:val="4B631043"/>
    <w:rsid w:val="4B802FB9"/>
    <w:rsid w:val="4B817B7C"/>
    <w:rsid w:val="4B893B84"/>
    <w:rsid w:val="4B8B61F4"/>
    <w:rsid w:val="4BA823D1"/>
    <w:rsid w:val="4BB977B5"/>
    <w:rsid w:val="4BC335F1"/>
    <w:rsid w:val="4BC35CDD"/>
    <w:rsid w:val="4BCC4724"/>
    <w:rsid w:val="4BCD7F5C"/>
    <w:rsid w:val="4BDE6E8B"/>
    <w:rsid w:val="4C103A05"/>
    <w:rsid w:val="4C356D27"/>
    <w:rsid w:val="4C397CDA"/>
    <w:rsid w:val="4C407903"/>
    <w:rsid w:val="4C4B458C"/>
    <w:rsid w:val="4C5E0181"/>
    <w:rsid w:val="4C6B20D5"/>
    <w:rsid w:val="4C6D6BEF"/>
    <w:rsid w:val="4C870DCA"/>
    <w:rsid w:val="4C9D1086"/>
    <w:rsid w:val="4CC46461"/>
    <w:rsid w:val="4CC94C66"/>
    <w:rsid w:val="4CCB2FD0"/>
    <w:rsid w:val="4CD0082B"/>
    <w:rsid w:val="4D19409A"/>
    <w:rsid w:val="4D1F4772"/>
    <w:rsid w:val="4D6958C8"/>
    <w:rsid w:val="4D6D7941"/>
    <w:rsid w:val="4D7C456E"/>
    <w:rsid w:val="4DA32291"/>
    <w:rsid w:val="4DD12B6C"/>
    <w:rsid w:val="4DD24C22"/>
    <w:rsid w:val="4DD70C70"/>
    <w:rsid w:val="4E06251D"/>
    <w:rsid w:val="4E0925A2"/>
    <w:rsid w:val="4E3A0C60"/>
    <w:rsid w:val="4E477594"/>
    <w:rsid w:val="4E5849FC"/>
    <w:rsid w:val="4E713217"/>
    <w:rsid w:val="4E864C85"/>
    <w:rsid w:val="4E933CDA"/>
    <w:rsid w:val="4E951442"/>
    <w:rsid w:val="4E973943"/>
    <w:rsid w:val="4E9D6CE0"/>
    <w:rsid w:val="4EBA1886"/>
    <w:rsid w:val="4EBE2366"/>
    <w:rsid w:val="4EC70B18"/>
    <w:rsid w:val="4ED47B06"/>
    <w:rsid w:val="4F1346DD"/>
    <w:rsid w:val="4F1A34BF"/>
    <w:rsid w:val="4F564658"/>
    <w:rsid w:val="4F566C7F"/>
    <w:rsid w:val="4F585D21"/>
    <w:rsid w:val="4F836406"/>
    <w:rsid w:val="4F9C2548"/>
    <w:rsid w:val="4FBB65E9"/>
    <w:rsid w:val="4FD22A67"/>
    <w:rsid w:val="50412B1F"/>
    <w:rsid w:val="504B6C8C"/>
    <w:rsid w:val="506118E5"/>
    <w:rsid w:val="506A2E6A"/>
    <w:rsid w:val="50847083"/>
    <w:rsid w:val="50971EA7"/>
    <w:rsid w:val="50AA0AF8"/>
    <w:rsid w:val="50E51716"/>
    <w:rsid w:val="50EF171E"/>
    <w:rsid w:val="510B0415"/>
    <w:rsid w:val="51382FED"/>
    <w:rsid w:val="5164434B"/>
    <w:rsid w:val="517B1E1E"/>
    <w:rsid w:val="517F53E1"/>
    <w:rsid w:val="51892EE3"/>
    <w:rsid w:val="518A3240"/>
    <w:rsid w:val="51AC114A"/>
    <w:rsid w:val="51BB2E61"/>
    <w:rsid w:val="51D91B8D"/>
    <w:rsid w:val="51DB6B36"/>
    <w:rsid w:val="51E1174A"/>
    <w:rsid w:val="51E16D3F"/>
    <w:rsid w:val="51E40A3F"/>
    <w:rsid w:val="51EA21A6"/>
    <w:rsid w:val="51EB3919"/>
    <w:rsid w:val="522F5778"/>
    <w:rsid w:val="52653807"/>
    <w:rsid w:val="529C1ADB"/>
    <w:rsid w:val="52AE11D3"/>
    <w:rsid w:val="52B0689C"/>
    <w:rsid w:val="52B273B1"/>
    <w:rsid w:val="52EB7516"/>
    <w:rsid w:val="531840B2"/>
    <w:rsid w:val="535533A4"/>
    <w:rsid w:val="5356063A"/>
    <w:rsid w:val="53723049"/>
    <w:rsid w:val="538D5FE9"/>
    <w:rsid w:val="539A1881"/>
    <w:rsid w:val="53B05B71"/>
    <w:rsid w:val="53C73005"/>
    <w:rsid w:val="53CD3937"/>
    <w:rsid w:val="53D15DA9"/>
    <w:rsid w:val="53D8326F"/>
    <w:rsid w:val="53E24761"/>
    <w:rsid w:val="54043AE1"/>
    <w:rsid w:val="5412197A"/>
    <w:rsid w:val="542E79C4"/>
    <w:rsid w:val="54A32B91"/>
    <w:rsid w:val="54C832FF"/>
    <w:rsid w:val="54CA5210"/>
    <w:rsid w:val="54F007A5"/>
    <w:rsid w:val="55012152"/>
    <w:rsid w:val="55083F2D"/>
    <w:rsid w:val="551E7CCC"/>
    <w:rsid w:val="556E2F1B"/>
    <w:rsid w:val="558531A2"/>
    <w:rsid w:val="559A3787"/>
    <w:rsid w:val="559B4DB6"/>
    <w:rsid w:val="55AE0743"/>
    <w:rsid w:val="55B9502F"/>
    <w:rsid w:val="55D30954"/>
    <w:rsid w:val="55E96599"/>
    <w:rsid w:val="56097A90"/>
    <w:rsid w:val="560A6F34"/>
    <w:rsid w:val="56145F86"/>
    <w:rsid w:val="56176934"/>
    <w:rsid w:val="56233E12"/>
    <w:rsid w:val="564F09A7"/>
    <w:rsid w:val="565F4249"/>
    <w:rsid w:val="56622315"/>
    <w:rsid w:val="568200C3"/>
    <w:rsid w:val="569A4973"/>
    <w:rsid w:val="56A05488"/>
    <w:rsid w:val="56C353BC"/>
    <w:rsid w:val="56CC12EF"/>
    <w:rsid w:val="56D26632"/>
    <w:rsid w:val="56E27D41"/>
    <w:rsid w:val="56F22B4F"/>
    <w:rsid w:val="56FA6388"/>
    <w:rsid w:val="56FB1FFB"/>
    <w:rsid w:val="57097F1C"/>
    <w:rsid w:val="571130C7"/>
    <w:rsid w:val="57295B0E"/>
    <w:rsid w:val="572F569B"/>
    <w:rsid w:val="575634F8"/>
    <w:rsid w:val="57567C85"/>
    <w:rsid w:val="577B7407"/>
    <w:rsid w:val="57853233"/>
    <w:rsid w:val="57925EA6"/>
    <w:rsid w:val="57AB4CBA"/>
    <w:rsid w:val="57BB2460"/>
    <w:rsid w:val="57F40E36"/>
    <w:rsid w:val="57FD0D27"/>
    <w:rsid w:val="57FD20A2"/>
    <w:rsid w:val="58104409"/>
    <w:rsid w:val="58115A3A"/>
    <w:rsid w:val="5812401E"/>
    <w:rsid w:val="58322396"/>
    <w:rsid w:val="585301E5"/>
    <w:rsid w:val="585707DC"/>
    <w:rsid w:val="586677EB"/>
    <w:rsid w:val="586E3763"/>
    <w:rsid w:val="58882AA6"/>
    <w:rsid w:val="58A4520E"/>
    <w:rsid w:val="58CD7BE9"/>
    <w:rsid w:val="58D32E06"/>
    <w:rsid w:val="58DE7688"/>
    <w:rsid w:val="590C3607"/>
    <w:rsid w:val="592159C9"/>
    <w:rsid w:val="59233E8A"/>
    <w:rsid w:val="59337B80"/>
    <w:rsid w:val="5948149D"/>
    <w:rsid w:val="594D2FCD"/>
    <w:rsid w:val="596071F6"/>
    <w:rsid w:val="59677210"/>
    <w:rsid w:val="59751969"/>
    <w:rsid w:val="597F5F05"/>
    <w:rsid w:val="59A1110C"/>
    <w:rsid w:val="59B26A2D"/>
    <w:rsid w:val="59B91549"/>
    <w:rsid w:val="59CE2F9A"/>
    <w:rsid w:val="59D06083"/>
    <w:rsid w:val="59D7721D"/>
    <w:rsid w:val="59E1335A"/>
    <w:rsid w:val="5A102DA8"/>
    <w:rsid w:val="5A156551"/>
    <w:rsid w:val="5A275369"/>
    <w:rsid w:val="5A451FCF"/>
    <w:rsid w:val="5A576EB1"/>
    <w:rsid w:val="5A6C7F3F"/>
    <w:rsid w:val="5A9556C7"/>
    <w:rsid w:val="5A9E268E"/>
    <w:rsid w:val="5AA43354"/>
    <w:rsid w:val="5AAF118A"/>
    <w:rsid w:val="5AD275CF"/>
    <w:rsid w:val="5AD81E75"/>
    <w:rsid w:val="5AE938BF"/>
    <w:rsid w:val="5AF5333A"/>
    <w:rsid w:val="5B105748"/>
    <w:rsid w:val="5B3A103D"/>
    <w:rsid w:val="5B4439D8"/>
    <w:rsid w:val="5B4C64C7"/>
    <w:rsid w:val="5B572CED"/>
    <w:rsid w:val="5B6A273F"/>
    <w:rsid w:val="5B721807"/>
    <w:rsid w:val="5B744E59"/>
    <w:rsid w:val="5B9A7A8D"/>
    <w:rsid w:val="5BCC05B5"/>
    <w:rsid w:val="5BCC70E6"/>
    <w:rsid w:val="5BDA413E"/>
    <w:rsid w:val="5BDE4FF7"/>
    <w:rsid w:val="5BFD2D48"/>
    <w:rsid w:val="5C7762AD"/>
    <w:rsid w:val="5C7C5E97"/>
    <w:rsid w:val="5C894F8B"/>
    <w:rsid w:val="5C8B3352"/>
    <w:rsid w:val="5CA927A1"/>
    <w:rsid w:val="5CB125E3"/>
    <w:rsid w:val="5CC570F7"/>
    <w:rsid w:val="5CE80A82"/>
    <w:rsid w:val="5CEA0B4B"/>
    <w:rsid w:val="5D1F23E6"/>
    <w:rsid w:val="5D2C0B69"/>
    <w:rsid w:val="5D3E4DBF"/>
    <w:rsid w:val="5D617ADE"/>
    <w:rsid w:val="5D6E7F12"/>
    <w:rsid w:val="5D7751AE"/>
    <w:rsid w:val="5D97453E"/>
    <w:rsid w:val="5DA02F3D"/>
    <w:rsid w:val="5DB8462D"/>
    <w:rsid w:val="5DBD0507"/>
    <w:rsid w:val="5DCD2525"/>
    <w:rsid w:val="5E131562"/>
    <w:rsid w:val="5E304B45"/>
    <w:rsid w:val="5E390B9F"/>
    <w:rsid w:val="5E5D73D0"/>
    <w:rsid w:val="5E686C1A"/>
    <w:rsid w:val="5E742483"/>
    <w:rsid w:val="5E8A595A"/>
    <w:rsid w:val="5E950CC7"/>
    <w:rsid w:val="5EA2455F"/>
    <w:rsid w:val="5EC24998"/>
    <w:rsid w:val="5EE0569C"/>
    <w:rsid w:val="5EE52B4D"/>
    <w:rsid w:val="5EE800A1"/>
    <w:rsid w:val="5F025A7A"/>
    <w:rsid w:val="5F0912DF"/>
    <w:rsid w:val="5F11440F"/>
    <w:rsid w:val="5F1D1261"/>
    <w:rsid w:val="5F243DC3"/>
    <w:rsid w:val="5F392E1D"/>
    <w:rsid w:val="5F454C02"/>
    <w:rsid w:val="5F4F7802"/>
    <w:rsid w:val="5F6B1782"/>
    <w:rsid w:val="5F7655D6"/>
    <w:rsid w:val="5F9E2A5A"/>
    <w:rsid w:val="5FB83936"/>
    <w:rsid w:val="5FC95DDB"/>
    <w:rsid w:val="5FD9401F"/>
    <w:rsid w:val="5FDF70EB"/>
    <w:rsid w:val="5FF20EB3"/>
    <w:rsid w:val="5FFD4CE5"/>
    <w:rsid w:val="600421E5"/>
    <w:rsid w:val="6026651E"/>
    <w:rsid w:val="604A40BD"/>
    <w:rsid w:val="60525C8C"/>
    <w:rsid w:val="608315EB"/>
    <w:rsid w:val="609879C1"/>
    <w:rsid w:val="609A215B"/>
    <w:rsid w:val="609B3C81"/>
    <w:rsid w:val="609D3337"/>
    <w:rsid w:val="60B309DE"/>
    <w:rsid w:val="60C8134A"/>
    <w:rsid w:val="60D76A03"/>
    <w:rsid w:val="60E5197E"/>
    <w:rsid w:val="60E875DE"/>
    <w:rsid w:val="61090B76"/>
    <w:rsid w:val="610D08A1"/>
    <w:rsid w:val="6117380D"/>
    <w:rsid w:val="611F1A97"/>
    <w:rsid w:val="61230DF9"/>
    <w:rsid w:val="61711A44"/>
    <w:rsid w:val="619128EE"/>
    <w:rsid w:val="61AA7B03"/>
    <w:rsid w:val="61AA7D59"/>
    <w:rsid w:val="61AE01B8"/>
    <w:rsid w:val="61B73365"/>
    <w:rsid w:val="61B96873"/>
    <w:rsid w:val="61D06C93"/>
    <w:rsid w:val="61D33F62"/>
    <w:rsid w:val="61D810B5"/>
    <w:rsid w:val="61E61209"/>
    <w:rsid w:val="620758C2"/>
    <w:rsid w:val="621917FD"/>
    <w:rsid w:val="62364F24"/>
    <w:rsid w:val="6245105A"/>
    <w:rsid w:val="62592628"/>
    <w:rsid w:val="626A7D01"/>
    <w:rsid w:val="627E734B"/>
    <w:rsid w:val="62C42A20"/>
    <w:rsid w:val="62C756C4"/>
    <w:rsid w:val="62DF563A"/>
    <w:rsid w:val="62E9253F"/>
    <w:rsid w:val="630018D7"/>
    <w:rsid w:val="63367B2B"/>
    <w:rsid w:val="633B4E16"/>
    <w:rsid w:val="6378079E"/>
    <w:rsid w:val="639B4E17"/>
    <w:rsid w:val="639C6468"/>
    <w:rsid w:val="63BB668B"/>
    <w:rsid w:val="63F6477D"/>
    <w:rsid w:val="64175384"/>
    <w:rsid w:val="641F47E1"/>
    <w:rsid w:val="6420203F"/>
    <w:rsid w:val="6434353E"/>
    <w:rsid w:val="64375DED"/>
    <w:rsid w:val="64564C45"/>
    <w:rsid w:val="646068BC"/>
    <w:rsid w:val="646B2BCA"/>
    <w:rsid w:val="647A5F94"/>
    <w:rsid w:val="64884630"/>
    <w:rsid w:val="648F08BD"/>
    <w:rsid w:val="648F7F3F"/>
    <w:rsid w:val="649A593A"/>
    <w:rsid w:val="64B6316B"/>
    <w:rsid w:val="64D21BB3"/>
    <w:rsid w:val="64D759EA"/>
    <w:rsid w:val="64E155F1"/>
    <w:rsid w:val="64F12015"/>
    <w:rsid w:val="651F7C88"/>
    <w:rsid w:val="65424E5B"/>
    <w:rsid w:val="65837073"/>
    <w:rsid w:val="658D1922"/>
    <w:rsid w:val="65974038"/>
    <w:rsid w:val="65B00D60"/>
    <w:rsid w:val="65BE5C03"/>
    <w:rsid w:val="65CA0DA6"/>
    <w:rsid w:val="65EF20FB"/>
    <w:rsid w:val="65F53A41"/>
    <w:rsid w:val="66246A7D"/>
    <w:rsid w:val="66413E10"/>
    <w:rsid w:val="66475010"/>
    <w:rsid w:val="664D5B39"/>
    <w:rsid w:val="66563A35"/>
    <w:rsid w:val="66662AEA"/>
    <w:rsid w:val="666B7FC1"/>
    <w:rsid w:val="666D2301"/>
    <w:rsid w:val="66F114ED"/>
    <w:rsid w:val="66F2535C"/>
    <w:rsid w:val="672E7F62"/>
    <w:rsid w:val="67415768"/>
    <w:rsid w:val="678A1C4B"/>
    <w:rsid w:val="6791757C"/>
    <w:rsid w:val="6797050B"/>
    <w:rsid w:val="67AB7DB6"/>
    <w:rsid w:val="67C90C9B"/>
    <w:rsid w:val="68186F7A"/>
    <w:rsid w:val="681C10EE"/>
    <w:rsid w:val="682C1D5A"/>
    <w:rsid w:val="6838122C"/>
    <w:rsid w:val="683C6FCC"/>
    <w:rsid w:val="683F6B7C"/>
    <w:rsid w:val="68492F69"/>
    <w:rsid w:val="685F40A9"/>
    <w:rsid w:val="68723358"/>
    <w:rsid w:val="688A5BA8"/>
    <w:rsid w:val="68BD589E"/>
    <w:rsid w:val="68C930E9"/>
    <w:rsid w:val="68D236A5"/>
    <w:rsid w:val="68D4275A"/>
    <w:rsid w:val="68D65A11"/>
    <w:rsid w:val="68EF53A1"/>
    <w:rsid w:val="68FF2F08"/>
    <w:rsid w:val="690A2019"/>
    <w:rsid w:val="693E2B69"/>
    <w:rsid w:val="69596E73"/>
    <w:rsid w:val="697A2598"/>
    <w:rsid w:val="698431C7"/>
    <w:rsid w:val="69850CCA"/>
    <w:rsid w:val="69C176F0"/>
    <w:rsid w:val="69F10DE5"/>
    <w:rsid w:val="69F2087C"/>
    <w:rsid w:val="69FC1488"/>
    <w:rsid w:val="69FE419B"/>
    <w:rsid w:val="6A1E04FE"/>
    <w:rsid w:val="6A1E31E9"/>
    <w:rsid w:val="6A4A6936"/>
    <w:rsid w:val="6A620F8D"/>
    <w:rsid w:val="6A796970"/>
    <w:rsid w:val="6A884214"/>
    <w:rsid w:val="6A9E5B88"/>
    <w:rsid w:val="6ABF6176"/>
    <w:rsid w:val="6AD95B5A"/>
    <w:rsid w:val="6B02203D"/>
    <w:rsid w:val="6B16458C"/>
    <w:rsid w:val="6B19775A"/>
    <w:rsid w:val="6B370654"/>
    <w:rsid w:val="6B3A4BBA"/>
    <w:rsid w:val="6B625BDF"/>
    <w:rsid w:val="6BAD315E"/>
    <w:rsid w:val="6BC72FF0"/>
    <w:rsid w:val="6C4C5C2E"/>
    <w:rsid w:val="6C4F1CCE"/>
    <w:rsid w:val="6C5B1B70"/>
    <w:rsid w:val="6C6E2FB7"/>
    <w:rsid w:val="6C79747A"/>
    <w:rsid w:val="6C89429E"/>
    <w:rsid w:val="6C950D48"/>
    <w:rsid w:val="6CAD59BA"/>
    <w:rsid w:val="6CBD76F1"/>
    <w:rsid w:val="6D24728E"/>
    <w:rsid w:val="6D341F98"/>
    <w:rsid w:val="6D44164A"/>
    <w:rsid w:val="6D692938"/>
    <w:rsid w:val="6DA62626"/>
    <w:rsid w:val="6DA7605D"/>
    <w:rsid w:val="6DB10EF8"/>
    <w:rsid w:val="6DC5200C"/>
    <w:rsid w:val="6DC627FE"/>
    <w:rsid w:val="6DD51400"/>
    <w:rsid w:val="6DE46B82"/>
    <w:rsid w:val="6DEA6DF9"/>
    <w:rsid w:val="6E1F3115"/>
    <w:rsid w:val="6E30773C"/>
    <w:rsid w:val="6E3B472E"/>
    <w:rsid w:val="6E4A52CC"/>
    <w:rsid w:val="6E5029B5"/>
    <w:rsid w:val="6E557437"/>
    <w:rsid w:val="6E5A0C7C"/>
    <w:rsid w:val="6E6024C8"/>
    <w:rsid w:val="6E685FEC"/>
    <w:rsid w:val="6E91319F"/>
    <w:rsid w:val="6E9612E5"/>
    <w:rsid w:val="6E9C2297"/>
    <w:rsid w:val="6EA10C70"/>
    <w:rsid w:val="6EAC4935"/>
    <w:rsid w:val="6EC03E03"/>
    <w:rsid w:val="6ECA1280"/>
    <w:rsid w:val="6ED56595"/>
    <w:rsid w:val="6ED74C68"/>
    <w:rsid w:val="6EDB3255"/>
    <w:rsid w:val="6F327A40"/>
    <w:rsid w:val="6F7C7ABC"/>
    <w:rsid w:val="6F7F0605"/>
    <w:rsid w:val="6F857864"/>
    <w:rsid w:val="6F8612F6"/>
    <w:rsid w:val="6FA26498"/>
    <w:rsid w:val="6FA52303"/>
    <w:rsid w:val="6FA541E3"/>
    <w:rsid w:val="6FAE4D81"/>
    <w:rsid w:val="6FD1019B"/>
    <w:rsid w:val="6FFC71FA"/>
    <w:rsid w:val="70062187"/>
    <w:rsid w:val="700800F5"/>
    <w:rsid w:val="70226435"/>
    <w:rsid w:val="702A2337"/>
    <w:rsid w:val="70354E12"/>
    <w:rsid w:val="704C060A"/>
    <w:rsid w:val="7052701F"/>
    <w:rsid w:val="708649F5"/>
    <w:rsid w:val="709D375A"/>
    <w:rsid w:val="70A473B9"/>
    <w:rsid w:val="70D60013"/>
    <w:rsid w:val="70E762B0"/>
    <w:rsid w:val="70F409C3"/>
    <w:rsid w:val="711822DA"/>
    <w:rsid w:val="71215EDA"/>
    <w:rsid w:val="713B0A00"/>
    <w:rsid w:val="715F631C"/>
    <w:rsid w:val="7160353A"/>
    <w:rsid w:val="717F1FA6"/>
    <w:rsid w:val="71A2348B"/>
    <w:rsid w:val="71A56E22"/>
    <w:rsid w:val="71B7426E"/>
    <w:rsid w:val="71BB0CF8"/>
    <w:rsid w:val="71C079D2"/>
    <w:rsid w:val="71C4748E"/>
    <w:rsid w:val="71C87B24"/>
    <w:rsid w:val="71F4438C"/>
    <w:rsid w:val="72092C39"/>
    <w:rsid w:val="720D351F"/>
    <w:rsid w:val="7227757B"/>
    <w:rsid w:val="72492CC7"/>
    <w:rsid w:val="724F7CA0"/>
    <w:rsid w:val="726D1705"/>
    <w:rsid w:val="72792EC6"/>
    <w:rsid w:val="728A6784"/>
    <w:rsid w:val="7291618E"/>
    <w:rsid w:val="72BE0018"/>
    <w:rsid w:val="72CC66F5"/>
    <w:rsid w:val="72DD7F0A"/>
    <w:rsid w:val="72DE04AA"/>
    <w:rsid w:val="72E067AA"/>
    <w:rsid w:val="73066FC6"/>
    <w:rsid w:val="730F7F53"/>
    <w:rsid w:val="73185B2D"/>
    <w:rsid w:val="73193ABF"/>
    <w:rsid w:val="73252F64"/>
    <w:rsid w:val="732C0B4F"/>
    <w:rsid w:val="73372AF2"/>
    <w:rsid w:val="73545430"/>
    <w:rsid w:val="73630B75"/>
    <w:rsid w:val="736C07E4"/>
    <w:rsid w:val="73736487"/>
    <w:rsid w:val="73A92EFD"/>
    <w:rsid w:val="73AD2E2B"/>
    <w:rsid w:val="73AF59CE"/>
    <w:rsid w:val="73B27793"/>
    <w:rsid w:val="73BE1AFD"/>
    <w:rsid w:val="73DB709F"/>
    <w:rsid w:val="73DF6B87"/>
    <w:rsid w:val="741E25AA"/>
    <w:rsid w:val="74241DEC"/>
    <w:rsid w:val="74286119"/>
    <w:rsid w:val="74384D2F"/>
    <w:rsid w:val="74654712"/>
    <w:rsid w:val="74710AD5"/>
    <w:rsid w:val="749574AD"/>
    <w:rsid w:val="74A457D3"/>
    <w:rsid w:val="74A9691A"/>
    <w:rsid w:val="74B54519"/>
    <w:rsid w:val="74B91E0A"/>
    <w:rsid w:val="74BA0F7D"/>
    <w:rsid w:val="74CC582F"/>
    <w:rsid w:val="74DF2550"/>
    <w:rsid w:val="74ED3A7B"/>
    <w:rsid w:val="75006A53"/>
    <w:rsid w:val="750A51C9"/>
    <w:rsid w:val="752C6404"/>
    <w:rsid w:val="75390106"/>
    <w:rsid w:val="758E1589"/>
    <w:rsid w:val="75B21A84"/>
    <w:rsid w:val="75D365E6"/>
    <w:rsid w:val="75E30789"/>
    <w:rsid w:val="75E72D1D"/>
    <w:rsid w:val="75F52EDD"/>
    <w:rsid w:val="76124CF4"/>
    <w:rsid w:val="7643780E"/>
    <w:rsid w:val="765038C3"/>
    <w:rsid w:val="765912CE"/>
    <w:rsid w:val="766613BB"/>
    <w:rsid w:val="766615C9"/>
    <w:rsid w:val="76676AF8"/>
    <w:rsid w:val="76770FB1"/>
    <w:rsid w:val="767A159D"/>
    <w:rsid w:val="768327F8"/>
    <w:rsid w:val="7699490D"/>
    <w:rsid w:val="769B29C0"/>
    <w:rsid w:val="76BA106F"/>
    <w:rsid w:val="76DF01E5"/>
    <w:rsid w:val="76E033E2"/>
    <w:rsid w:val="77023BA7"/>
    <w:rsid w:val="775A42CA"/>
    <w:rsid w:val="77704303"/>
    <w:rsid w:val="777A5F4C"/>
    <w:rsid w:val="77980E40"/>
    <w:rsid w:val="77DA027B"/>
    <w:rsid w:val="77DD574D"/>
    <w:rsid w:val="77E96A4F"/>
    <w:rsid w:val="78056B83"/>
    <w:rsid w:val="78065F44"/>
    <w:rsid w:val="780758A2"/>
    <w:rsid w:val="78083922"/>
    <w:rsid w:val="780C542C"/>
    <w:rsid w:val="781B2A78"/>
    <w:rsid w:val="782632F8"/>
    <w:rsid w:val="783B11D6"/>
    <w:rsid w:val="78437A76"/>
    <w:rsid w:val="785A2650"/>
    <w:rsid w:val="78694F8A"/>
    <w:rsid w:val="7875427A"/>
    <w:rsid w:val="787B7598"/>
    <w:rsid w:val="788E3F8F"/>
    <w:rsid w:val="78AA3C3D"/>
    <w:rsid w:val="78B26BA7"/>
    <w:rsid w:val="78DD7CA2"/>
    <w:rsid w:val="78F86254"/>
    <w:rsid w:val="79094863"/>
    <w:rsid w:val="790D04DC"/>
    <w:rsid w:val="79293ED8"/>
    <w:rsid w:val="792F6070"/>
    <w:rsid w:val="792F7B59"/>
    <w:rsid w:val="793151CD"/>
    <w:rsid w:val="794079A7"/>
    <w:rsid w:val="79620365"/>
    <w:rsid w:val="798A0CCE"/>
    <w:rsid w:val="7991323B"/>
    <w:rsid w:val="79CF1CC6"/>
    <w:rsid w:val="79D046B3"/>
    <w:rsid w:val="7A112CFC"/>
    <w:rsid w:val="7A3E1D56"/>
    <w:rsid w:val="7A6607C7"/>
    <w:rsid w:val="7A6F0FBA"/>
    <w:rsid w:val="7A700DB7"/>
    <w:rsid w:val="7A850D80"/>
    <w:rsid w:val="7A8B151B"/>
    <w:rsid w:val="7AC16B8D"/>
    <w:rsid w:val="7AC50BF7"/>
    <w:rsid w:val="7AC66898"/>
    <w:rsid w:val="7AD434E7"/>
    <w:rsid w:val="7ADD0087"/>
    <w:rsid w:val="7AF92838"/>
    <w:rsid w:val="7B1F1BE2"/>
    <w:rsid w:val="7B6C2A46"/>
    <w:rsid w:val="7BAD67C4"/>
    <w:rsid w:val="7BB4042E"/>
    <w:rsid w:val="7BD9017F"/>
    <w:rsid w:val="7C1053BA"/>
    <w:rsid w:val="7C346700"/>
    <w:rsid w:val="7C454582"/>
    <w:rsid w:val="7C53499B"/>
    <w:rsid w:val="7C5A3A3C"/>
    <w:rsid w:val="7C940A4B"/>
    <w:rsid w:val="7CC079AA"/>
    <w:rsid w:val="7CFD5001"/>
    <w:rsid w:val="7D2E4037"/>
    <w:rsid w:val="7D4817FA"/>
    <w:rsid w:val="7D511F42"/>
    <w:rsid w:val="7D6842CE"/>
    <w:rsid w:val="7D6D00A8"/>
    <w:rsid w:val="7D730861"/>
    <w:rsid w:val="7D8B18A1"/>
    <w:rsid w:val="7D9D158B"/>
    <w:rsid w:val="7DAE5A50"/>
    <w:rsid w:val="7DBE1A7C"/>
    <w:rsid w:val="7DC12D36"/>
    <w:rsid w:val="7DD162D3"/>
    <w:rsid w:val="7E0271D5"/>
    <w:rsid w:val="7E032A7E"/>
    <w:rsid w:val="7E040F1A"/>
    <w:rsid w:val="7E0A6E87"/>
    <w:rsid w:val="7E191C34"/>
    <w:rsid w:val="7E246FA9"/>
    <w:rsid w:val="7E311A2C"/>
    <w:rsid w:val="7E3E0A80"/>
    <w:rsid w:val="7E4E21A8"/>
    <w:rsid w:val="7E59621E"/>
    <w:rsid w:val="7E5F393F"/>
    <w:rsid w:val="7E616E21"/>
    <w:rsid w:val="7E6C6502"/>
    <w:rsid w:val="7E7B573B"/>
    <w:rsid w:val="7E801752"/>
    <w:rsid w:val="7E8D0ECF"/>
    <w:rsid w:val="7EA94DB9"/>
    <w:rsid w:val="7EBE078D"/>
    <w:rsid w:val="7EC32DD2"/>
    <w:rsid w:val="7ECC09FB"/>
    <w:rsid w:val="7ED20178"/>
    <w:rsid w:val="7F24711F"/>
    <w:rsid w:val="7F44189D"/>
    <w:rsid w:val="7F450D51"/>
    <w:rsid w:val="7F6D38C2"/>
    <w:rsid w:val="7F770154"/>
    <w:rsid w:val="7FA74758"/>
    <w:rsid w:val="7FB01348"/>
    <w:rsid w:val="7FB3107F"/>
    <w:rsid w:val="7FBB6534"/>
    <w:rsid w:val="7FC30A1F"/>
    <w:rsid w:val="7FC7497F"/>
    <w:rsid w:val="7FCB5451"/>
    <w:rsid w:val="7FD23A0D"/>
    <w:rsid w:val="7FD33020"/>
    <w:rsid w:val="7FDC37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20"/>
    <w:qFormat/>
    <w:uiPriority w:val="0"/>
    <w:pPr>
      <w:keepNext/>
      <w:keepLines/>
      <w:pageBreakBefore/>
      <w:numPr>
        <w:ilvl w:val="0"/>
        <w:numId w:val="1"/>
      </w:numPr>
      <w:spacing w:before="260" w:after="260" w:line="576" w:lineRule="auto"/>
      <w:ind w:firstLine="880"/>
      <w:outlineLvl w:val="0"/>
    </w:pPr>
    <w:rPr>
      <w:rFonts w:cs="Times New Roman"/>
      <w:b/>
      <w:kern w:val="44"/>
      <w:sz w:val="32"/>
      <w:szCs w:val="28"/>
    </w:rPr>
  </w:style>
  <w:style w:type="paragraph" w:styleId="4">
    <w:name w:val="heading 2"/>
    <w:basedOn w:val="1"/>
    <w:next w:val="1"/>
    <w:link w:val="19"/>
    <w:unhideWhenUsed/>
    <w:qFormat/>
    <w:uiPriority w:val="9"/>
    <w:pPr>
      <w:keepNext/>
      <w:keepLines/>
      <w:spacing w:line="580" w:lineRule="atLeast"/>
      <w:outlineLvl w:val="1"/>
    </w:pPr>
    <w:rPr>
      <w:rFonts w:cstheme="majorBidi"/>
      <w:b/>
      <w:bCs/>
      <w:sz w:val="30"/>
      <w:szCs w:val="32"/>
    </w:rPr>
  </w:style>
  <w:style w:type="paragraph" w:styleId="5">
    <w:name w:val="heading 3"/>
    <w:basedOn w:val="1"/>
    <w:next w:val="1"/>
    <w:unhideWhenUsed/>
    <w:qFormat/>
    <w:uiPriority w:val="9"/>
    <w:pPr>
      <w:keepNext/>
      <w:keepLines/>
      <w:outlineLvl w:val="2"/>
    </w:pPr>
    <w:rPr>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6"/>
    <w:semiHidden/>
    <w:unhideWhenUsed/>
    <w:qFormat/>
    <w:uiPriority w:val="99"/>
    <w:pPr>
      <w:spacing w:line="240" w:lineRule="auto"/>
    </w:pPr>
    <w:rPr>
      <w:sz w:val="18"/>
      <w:szCs w:val="18"/>
    </w:rPr>
  </w:style>
  <w:style w:type="paragraph" w:styleId="6">
    <w:name w:val="annotation text"/>
    <w:basedOn w:val="1"/>
    <w:qFormat/>
    <w:uiPriority w:val="0"/>
    <w:pPr>
      <w:jc w:val="left"/>
    </w:pPr>
  </w:style>
  <w:style w:type="paragraph" w:styleId="7">
    <w:name w:val="toc 3"/>
    <w:basedOn w:val="1"/>
    <w:next w:val="1"/>
    <w:unhideWhenUsed/>
    <w:qFormat/>
    <w:uiPriority w:val="39"/>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unhideWhenUsed/>
    <w:qFormat/>
    <w:uiPriority w:val="39"/>
  </w:style>
  <w:style w:type="paragraph" w:styleId="11">
    <w:name w:val="Subtitle"/>
    <w:basedOn w:val="1"/>
    <w:next w:val="1"/>
    <w:qFormat/>
    <w:uiPriority w:val="0"/>
    <w:pPr>
      <w:spacing w:line="360" w:lineRule="auto"/>
      <w:outlineLvl w:val="1"/>
    </w:pPr>
    <w:rPr>
      <w:rFonts w:ascii="Cambria" w:hAnsi="Cambria" w:eastAsia="宋体" w:cs="Times New Roman"/>
      <w:b/>
      <w:bCs/>
      <w:kern w:val="28"/>
      <w:szCs w:val="28"/>
    </w:rPr>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spacing w:beforeAutospacing="1" w:afterAutospacing="1"/>
      <w:jc w:val="left"/>
    </w:pPr>
    <w:rPr>
      <w:rFonts w:cs="Times New Roman"/>
      <w:kern w:val="0"/>
      <w:sz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paragraph" w:customStyle="1" w:styleId="18">
    <w:name w:val="三调标题2"/>
    <w:qFormat/>
    <w:uiPriority w:val="0"/>
    <w:pPr>
      <w:numPr>
        <w:ilvl w:val="0"/>
        <w:numId w:val="2"/>
      </w:numPr>
      <w:spacing w:line="500" w:lineRule="exact"/>
      <w:outlineLvl w:val="1"/>
    </w:pPr>
    <w:rPr>
      <w:rFonts w:ascii="宋体" w:hAnsi="宋体" w:eastAsia="宋体" w:cs="仿宋_GB2312"/>
      <w:b/>
      <w:color w:val="000000"/>
      <w:kern w:val="2"/>
      <w:sz w:val="30"/>
      <w:szCs w:val="30"/>
      <w:lang w:val="en-US" w:eastAsia="zh-CN" w:bidi="ar-SA"/>
    </w:rPr>
  </w:style>
  <w:style w:type="character" w:customStyle="1" w:styleId="19">
    <w:name w:val="标题 2 Char"/>
    <w:basedOn w:val="16"/>
    <w:link w:val="4"/>
    <w:qFormat/>
    <w:uiPriority w:val="9"/>
    <w:rPr>
      <w:rFonts w:eastAsia="仿宋_GB2312" w:cstheme="majorBidi"/>
      <w:b/>
      <w:bCs/>
      <w:kern w:val="2"/>
      <w:sz w:val="30"/>
      <w:szCs w:val="32"/>
    </w:rPr>
  </w:style>
  <w:style w:type="character" w:customStyle="1" w:styleId="20">
    <w:name w:val="标题 1 Char"/>
    <w:basedOn w:val="16"/>
    <w:link w:val="3"/>
    <w:qFormat/>
    <w:uiPriority w:val="0"/>
    <w:rPr>
      <w:rFonts w:eastAsia="仿宋_GB2312"/>
      <w:b/>
      <w:kern w:val="44"/>
      <w:sz w:val="32"/>
      <w:szCs w:val="28"/>
    </w:rPr>
  </w:style>
  <w:style w:type="paragraph" w:styleId="21">
    <w:name w:val="List Paragraph"/>
    <w:basedOn w:val="1"/>
    <w:qFormat/>
    <w:uiPriority w:val="34"/>
    <w:pPr>
      <w:ind w:firstLine="420"/>
    </w:pPr>
  </w:style>
  <w:style w:type="paragraph" w:customStyle="1" w:styleId="22">
    <w:name w:val="三调正文"/>
    <w:qFormat/>
    <w:uiPriority w:val="0"/>
    <w:pPr>
      <w:spacing w:line="500" w:lineRule="exact"/>
      <w:ind w:firstLine="200" w:firstLineChars="200"/>
    </w:pPr>
    <w:rPr>
      <w:rFonts w:ascii="宋体" w:hAnsi="宋体" w:eastAsia="仿宋_GB2312" w:cs="仿宋_GB2312"/>
      <w:sz w:val="28"/>
      <w:szCs w:val="28"/>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三调标题3"/>
    <w:qFormat/>
    <w:uiPriority w:val="0"/>
    <w:pPr>
      <w:numPr>
        <w:ilvl w:val="0"/>
        <w:numId w:val="3"/>
      </w:numPr>
      <w:spacing w:line="500" w:lineRule="exact"/>
      <w:outlineLvl w:val="2"/>
    </w:pPr>
    <w:rPr>
      <w:rFonts w:ascii="宋体" w:hAnsi="宋体" w:eastAsia="宋体" w:cs="仿宋_GB2312"/>
      <w:b/>
      <w:kern w:val="2"/>
      <w:sz w:val="28"/>
      <w:szCs w:val="28"/>
      <w:lang w:val="en-US" w:eastAsia="zh-CN" w:bidi="ar-SA"/>
    </w:rPr>
  </w:style>
  <w:style w:type="character" w:customStyle="1" w:styleId="26">
    <w:name w:val="批注框文本 Char"/>
    <w:basedOn w:val="16"/>
    <w:link w:val="2"/>
    <w:semiHidden/>
    <w:qFormat/>
    <w:uiPriority w:val="99"/>
    <w:rPr>
      <w:rFonts w:eastAsia="仿宋_GB2312" w:cstheme="minorBidi"/>
      <w:kern w:val="2"/>
      <w:sz w:val="18"/>
      <w:szCs w:val="18"/>
    </w:rPr>
  </w:style>
  <w:style w:type="paragraph" w:customStyle="1" w:styleId="27">
    <w:name w:val="TOC 标题1"/>
    <w:basedOn w:val="3"/>
    <w:next w:val="1"/>
    <w:semiHidden/>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bCs/>
      <w:color w:val="376092" w:themeColor="accent1" w:themeShade="BF"/>
      <w:kern w:val="0"/>
      <w:sz w:val="28"/>
    </w:rPr>
  </w:style>
  <w:style w:type="character" w:customStyle="1" w:styleId="28">
    <w:name w:val="font11"/>
    <w:basedOn w:val="16"/>
    <w:qFormat/>
    <w:uiPriority w:val="0"/>
    <w:rPr>
      <w:rFonts w:hint="eastAsia" w:ascii="仿宋_GB2312" w:eastAsia="仿宋_GB2312" w:cs="仿宋_GB2312"/>
      <w:color w:val="000000"/>
      <w:sz w:val="21"/>
      <w:szCs w:val="21"/>
      <w:u w:val="none"/>
    </w:rPr>
  </w:style>
  <w:style w:type="character" w:customStyle="1" w:styleId="29">
    <w:name w:val="font01"/>
    <w:basedOn w:val="16"/>
    <w:qFormat/>
    <w:uiPriority w:val="0"/>
    <w:rPr>
      <w:rFonts w:hint="default" w:ascii="Times New Roman" w:hAnsi="Times New Roman" w:cs="Times New Roman"/>
      <w:color w:val="000000"/>
      <w:sz w:val="21"/>
      <w:szCs w:val="21"/>
      <w:u w:val="none"/>
    </w:rPr>
  </w:style>
  <w:style w:type="character" w:customStyle="1" w:styleId="30">
    <w:name w:val="font31"/>
    <w:basedOn w:val="16"/>
    <w:qFormat/>
    <w:uiPriority w:val="0"/>
    <w:rPr>
      <w:rFonts w:hint="eastAsia" w:ascii="仿宋_GB2312" w:eastAsia="仿宋_GB2312" w:cs="仿宋_GB2312"/>
      <w:color w:val="000000"/>
      <w:sz w:val="21"/>
      <w:szCs w:val="21"/>
      <w:u w:val="none"/>
    </w:rPr>
  </w:style>
  <w:style w:type="character" w:customStyle="1" w:styleId="31">
    <w:name w:val="font21"/>
    <w:basedOn w:val="16"/>
    <w:qFormat/>
    <w:uiPriority w:val="0"/>
    <w:rPr>
      <w:rFonts w:hint="default" w:ascii="Times New Roman" w:hAnsi="Times New Roman" w:cs="Times New Roman"/>
      <w:color w:val="000000"/>
      <w:sz w:val="21"/>
      <w:szCs w:val="21"/>
      <w:u w:val="none"/>
    </w:rPr>
  </w:style>
  <w:style w:type="paragraph" w:customStyle="1" w:styleId="32">
    <w:name w:val="zx正文"/>
    <w:basedOn w:val="1"/>
    <w:qFormat/>
    <w:uiPriority w:val="0"/>
    <w:pPr>
      <w:spacing w:line="360" w:lineRule="auto"/>
      <w:ind w:right="-74" w:firstLine="560"/>
      <w:jc w:val="left"/>
    </w:pPr>
    <w:rPr>
      <w:rFonts w:ascii="宋体" w:hAnsi="宋体" w:eastAsia="宋体" w:cs="Tahoma"/>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11491</Words>
  <Characters>12234</Characters>
  <Lines>105</Lines>
  <Paragraphs>29</Paragraphs>
  <TotalTime>4</TotalTime>
  <ScaleCrop>false</ScaleCrop>
  <LinksUpToDate>false</LinksUpToDate>
  <CharactersWithSpaces>12497</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2020-11-09T14:53:00Z</dcterms:created>
  <dc:creator>hasee</dc:creator>
  <cp:lastModifiedBy>mac</cp:lastModifiedBy>
  <dcterms:modified xsi:type="dcterms:W3CDTF">2022-05-31T12:03:06Z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E453BD88CA1CADE97A939562602B4133</vt:lpwstr>
  </property>
</Properties>
</file>