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宋体" w:hAnsi="宋体" w:eastAsia="黑体" w:cs="黑体"/>
          <w:sz w:val="36"/>
          <w:szCs w:val="36"/>
          <w:lang w:val="en-US" w:eastAsia="zh-CN"/>
        </w:rPr>
      </w:pPr>
      <w:r>
        <w:rPr>
          <w:rFonts w:hint="eastAsia" w:ascii="宋体" w:hAnsi="宋体" w:eastAsia="黑体" w:cs="黑体"/>
          <w:sz w:val="36"/>
          <w:szCs w:val="36"/>
        </w:rPr>
        <w:t>附件</w:t>
      </w:r>
      <w:r>
        <w:rPr>
          <w:rFonts w:hint="eastAsia" w:ascii="宋体" w:hAnsi="宋体" w:eastAsia="黑体" w:cs="黑体"/>
          <w:sz w:val="36"/>
          <w:szCs w:val="36"/>
          <w:lang w:val="en-US" w:eastAsia="zh-CN"/>
        </w:rPr>
        <w:t>2</w:t>
      </w:r>
    </w:p>
    <w:p>
      <w:pPr>
        <w:pStyle w:val="2"/>
        <w:ind w:left="640"/>
        <w:rPr>
          <w:rFonts w:ascii="宋体" w:hAnsi="宋体"/>
        </w:rPr>
      </w:pPr>
    </w:p>
    <w:p>
      <w:pPr>
        <w:pStyle w:val="4"/>
        <w:rPr>
          <w:rFonts w:ascii="宋体" w:hAnsi="宋体" w:cs="方正小标宋简体"/>
          <w:kern w:val="2"/>
          <w:sz w:val="44"/>
          <w:szCs w:val="44"/>
        </w:rPr>
      </w:pPr>
      <w:r>
        <w:rPr>
          <w:rFonts w:hint="eastAsia" w:ascii="宋体" w:hAnsi="宋体" w:cs="方正小标宋简体"/>
          <w:kern w:val="2"/>
          <w:sz w:val="44"/>
          <w:szCs w:val="44"/>
        </w:rPr>
        <w:t>三明市推行工业用地“标准地”改革</w:t>
      </w:r>
    </w:p>
    <w:p>
      <w:pPr>
        <w:pStyle w:val="4"/>
        <w:rPr>
          <w:rFonts w:ascii="宋体" w:hAnsi="宋体" w:cs="方正小标宋简体"/>
          <w:kern w:val="2"/>
          <w:sz w:val="44"/>
          <w:szCs w:val="44"/>
        </w:rPr>
      </w:pPr>
      <w:r>
        <w:rPr>
          <w:rFonts w:hint="eastAsia" w:ascii="宋体" w:hAnsi="宋体" w:cs="方正小标宋简体"/>
          <w:kern w:val="2"/>
          <w:sz w:val="44"/>
          <w:szCs w:val="44"/>
        </w:rPr>
        <w:t>的实施方案</w:t>
      </w:r>
    </w:p>
    <w:p>
      <w:pPr>
        <w:spacing w:line="580" w:lineRule="exact"/>
        <w:jc w:val="center"/>
        <w:rPr>
          <w:rFonts w:ascii="宋体" w:hAnsi="宋体" w:eastAsia="楷体_GB2312" w:cs="楷体_GB2312"/>
          <w:sz w:val="32"/>
          <w:szCs w:val="32"/>
        </w:rPr>
      </w:pPr>
      <w:r>
        <w:rPr>
          <w:rFonts w:hint="eastAsia" w:ascii="宋体" w:hAnsi="宋体" w:eastAsia="楷体_GB2312" w:cs="楷体_GB2312"/>
          <w:sz w:val="32"/>
          <w:szCs w:val="32"/>
        </w:rPr>
        <w:t>（</w:t>
      </w:r>
      <w:r>
        <w:rPr>
          <w:rFonts w:hint="eastAsia" w:ascii="宋体" w:hAnsi="宋体" w:eastAsia="楷体_GB2312" w:cs="楷体_GB2312"/>
          <w:sz w:val="32"/>
          <w:szCs w:val="32"/>
          <w:lang w:eastAsia="zh-CN"/>
        </w:rPr>
        <w:t>征求意见</w:t>
      </w:r>
      <w:r>
        <w:rPr>
          <w:rFonts w:hint="eastAsia" w:ascii="宋体" w:hAnsi="宋体" w:eastAsia="楷体_GB2312" w:cs="楷体_GB2312"/>
          <w:sz w:val="32"/>
          <w:szCs w:val="32"/>
        </w:rPr>
        <w:t>稿）</w:t>
      </w:r>
    </w:p>
    <w:p>
      <w:pPr>
        <w:pStyle w:val="9"/>
        <w:widowControl/>
        <w:spacing w:beforeAutospacing="0" w:afterAutospacing="0" w:line="560" w:lineRule="exact"/>
        <w:rPr>
          <w:rFonts w:ascii="宋体" w:hAnsi="宋体" w:cs="仿宋_GB2312"/>
          <w:sz w:val="32"/>
          <w:szCs w:val="32"/>
          <w:shd w:val="clear" w:color="auto" w:fill="FFFFFF"/>
        </w:rPr>
      </w:pPr>
      <w:bookmarkStart w:id="0" w:name="_GoBack"/>
      <w:bookmarkEnd w:id="0"/>
    </w:p>
    <w:p>
      <w:pPr>
        <w:pStyle w:val="9"/>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ascii="宋体" w:hAnsi="宋体" w:cs="仿宋_GB2312"/>
          <w:sz w:val="32"/>
          <w:szCs w:val="32"/>
        </w:rPr>
      </w:pPr>
      <w:r>
        <w:rPr>
          <w:rFonts w:hint="eastAsia" w:ascii="宋体" w:hAnsi="宋体" w:cs="仿宋_GB2312"/>
          <w:sz w:val="32"/>
          <w:szCs w:val="32"/>
          <w:shd w:val="clear" w:color="auto" w:fill="FFFFFF"/>
        </w:rPr>
        <w:t>为认真贯彻落实市委、市政府部署要求，进一步深化“放管服”改革，持续优化营商环境，深入推进土地要素市场化配置，促进土地节约集约利用，推动工业用地提质增效，更好服务全方位推进高质量发展超越，根据《福建省人民政府办公</w:t>
      </w:r>
      <w:r>
        <w:rPr>
          <w:rFonts w:hint="eastAsia" w:ascii="宋体" w:hAnsi="宋体" w:cs="仿宋_GB2312"/>
          <w:sz w:val="32"/>
          <w:szCs w:val="32"/>
          <w:shd w:val="clear" w:color="auto" w:fill="FFFFFF"/>
          <w:lang w:eastAsia="zh-CN"/>
        </w:rPr>
        <w:t>厅</w:t>
      </w:r>
      <w:r>
        <w:rPr>
          <w:rFonts w:hint="eastAsia" w:ascii="宋体" w:hAnsi="宋体" w:cs="仿宋_GB2312"/>
          <w:sz w:val="32"/>
          <w:szCs w:val="32"/>
          <w:shd w:val="clear" w:color="auto" w:fill="FFFFFF"/>
        </w:rPr>
        <w:t>关于推行工业用地“标准地”改革的指导意见》（闽政办〔</w:t>
      </w:r>
      <w:r>
        <w:rPr>
          <w:rFonts w:hint="eastAsia" w:ascii="宋体" w:hAnsi="宋体" w:eastAsia="宋体" w:cs="宋体"/>
          <w:sz w:val="32"/>
          <w:szCs w:val="32"/>
          <w:shd w:val="clear" w:color="auto" w:fill="FFFFFF"/>
        </w:rPr>
        <w:t>2022</w:t>
      </w:r>
      <w:r>
        <w:rPr>
          <w:rFonts w:hint="eastAsia" w:ascii="宋体" w:hAnsi="宋体" w:cs="仿宋_GB2312"/>
          <w:sz w:val="32"/>
          <w:szCs w:val="32"/>
          <w:shd w:val="clear" w:color="auto" w:fill="FFFFFF"/>
        </w:rPr>
        <w:t>〕</w:t>
      </w:r>
      <w:r>
        <w:rPr>
          <w:rFonts w:hint="eastAsia" w:ascii="宋体" w:hAnsi="宋体" w:eastAsia="宋体" w:cs="宋体"/>
          <w:sz w:val="32"/>
          <w:szCs w:val="32"/>
          <w:shd w:val="clear" w:color="auto" w:fill="FFFFFF"/>
        </w:rPr>
        <w:t>45</w:t>
      </w:r>
      <w:r>
        <w:rPr>
          <w:rFonts w:hint="eastAsia" w:ascii="宋体" w:hAnsi="宋体" w:cs="仿宋_GB2312"/>
          <w:sz w:val="32"/>
          <w:szCs w:val="32"/>
          <w:shd w:val="clear" w:color="auto" w:fill="FFFFFF"/>
        </w:rPr>
        <w:t>号）精神，现就三明市推行工业用地“标准地”改革有关事项，提出如下方案：</w:t>
      </w:r>
    </w:p>
    <w:p>
      <w:pPr>
        <w:pStyle w:val="9"/>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ascii="宋体" w:hAnsi="宋体" w:eastAsia="黑体" w:cs="黑体"/>
          <w:bCs/>
          <w:sz w:val="32"/>
          <w:szCs w:val="32"/>
        </w:rPr>
      </w:pPr>
      <w:r>
        <w:rPr>
          <w:rStyle w:val="12"/>
          <w:rFonts w:hint="eastAsia" w:ascii="宋体" w:hAnsi="宋体" w:eastAsia="黑体" w:cs="黑体"/>
          <w:b w:val="0"/>
          <w:bCs/>
          <w:sz w:val="32"/>
          <w:szCs w:val="32"/>
          <w:shd w:val="clear" w:color="auto" w:fill="FFFFFF"/>
        </w:rPr>
        <w:t>一、改革目标任务</w:t>
      </w:r>
    </w:p>
    <w:p>
      <w:pPr>
        <w:pStyle w:val="9"/>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ascii="宋体" w:hAnsi="宋体" w:cs="仿宋_GB2312"/>
          <w:sz w:val="32"/>
          <w:szCs w:val="32"/>
          <w:shd w:val="clear" w:color="auto" w:fill="FFFFFF"/>
        </w:rPr>
      </w:pPr>
      <w:r>
        <w:rPr>
          <w:rFonts w:hint="eastAsia" w:ascii="宋体" w:hAnsi="宋体" w:cs="仿宋_GB2312"/>
          <w:sz w:val="32"/>
          <w:szCs w:val="32"/>
          <w:shd w:val="clear" w:color="auto" w:fill="FFFFFF"/>
        </w:rPr>
        <w:t>深入贯彻落实习近平总书记关于自然资源管理的重要论述，坚持新发展理念，坚持最严格的节约用地制度，按照“事前定标准、事中作承诺、事后强监管”原则，开展工业用地“标准地”改革工作，促进工业项目早开工、早落地，进一步助推工业经济高质量发展。工业用地“标准地”，即在完成相关区域评估及土地征收、“三通一平”等前期工作，符合“净地”要求的基础上，明确固定资产投资强度、用地容积率等控制性指标并实施全程监管的可出让的国有工业用地。</w:t>
      </w:r>
    </w:p>
    <w:p>
      <w:pPr>
        <w:pStyle w:val="9"/>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ascii="宋体" w:hAnsi="宋体" w:cs="仿宋_GB2312"/>
          <w:sz w:val="32"/>
          <w:szCs w:val="32"/>
          <w:shd w:val="clear" w:color="auto" w:fill="FFFFFF"/>
        </w:rPr>
      </w:pPr>
      <w:r>
        <w:rPr>
          <w:rFonts w:hint="eastAsia" w:ascii="宋体" w:hAnsi="宋体" w:eastAsia="宋体" w:cs="宋体"/>
          <w:sz w:val="32"/>
          <w:szCs w:val="32"/>
          <w:shd w:val="clear" w:color="auto" w:fill="FFFFFF"/>
        </w:rPr>
        <w:t>2024</w:t>
      </w:r>
      <w:r>
        <w:rPr>
          <w:rFonts w:hint="eastAsia" w:ascii="宋体" w:hAnsi="宋体" w:cs="仿宋_GB2312"/>
          <w:sz w:val="32"/>
          <w:szCs w:val="32"/>
          <w:shd w:val="clear" w:color="auto" w:fill="FFFFFF"/>
        </w:rPr>
        <w:t>年，全市省级以上开发区当年新增工业用地“标准地”出让比例不低于</w:t>
      </w:r>
      <w:r>
        <w:rPr>
          <w:rFonts w:hint="eastAsia" w:ascii="宋体" w:hAnsi="宋体" w:eastAsia="宋体" w:cs="宋体"/>
          <w:sz w:val="32"/>
          <w:szCs w:val="32"/>
          <w:shd w:val="clear" w:color="auto" w:fill="FFFFFF"/>
        </w:rPr>
        <w:t>30%</w:t>
      </w:r>
      <w:r>
        <w:rPr>
          <w:rFonts w:hint="eastAsia" w:ascii="宋体" w:hAnsi="宋体" w:cs="仿宋_GB2312"/>
          <w:sz w:val="32"/>
          <w:szCs w:val="32"/>
          <w:shd w:val="clear" w:color="auto" w:fill="FFFFFF"/>
        </w:rPr>
        <w:t>；</w:t>
      </w:r>
      <w:r>
        <w:rPr>
          <w:rFonts w:hint="eastAsia" w:ascii="宋体" w:hAnsi="宋体" w:eastAsia="宋体" w:cs="宋体"/>
          <w:sz w:val="32"/>
          <w:szCs w:val="32"/>
          <w:shd w:val="clear" w:color="auto" w:fill="FFFFFF"/>
        </w:rPr>
        <w:t>2025</w:t>
      </w:r>
      <w:r>
        <w:rPr>
          <w:rFonts w:hint="eastAsia" w:ascii="宋体" w:hAnsi="宋体" w:cs="仿宋_GB2312"/>
          <w:sz w:val="32"/>
          <w:szCs w:val="32"/>
          <w:shd w:val="clear" w:color="auto" w:fill="FFFFFF"/>
        </w:rPr>
        <w:t>年，全市省级以上开发区全面推行新增工业用地“标准地”出让。</w:t>
      </w:r>
    </w:p>
    <w:p>
      <w:pPr>
        <w:pStyle w:val="9"/>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ascii="宋体" w:hAnsi="宋体" w:eastAsia="黑体" w:cs="黑体"/>
          <w:bCs/>
          <w:sz w:val="32"/>
          <w:szCs w:val="32"/>
        </w:rPr>
      </w:pPr>
      <w:r>
        <w:rPr>
          <w:rFonts w:hint="eastAsia" w:ascii="宋体" w:hAnsi="宋体" w:eastAsia="黑体"/>
          <w:sz w:val="32"/>
          <w:szCs w:val="32"/>
        </w:rPr>
        <w:t>二、</w:t>
      </w:r>
      <w:r>
        <w:rPr>
          <w:rStyle w:val="12"/>
          <w:rFonts w:hint="eastAsia" w:ascii="宋体" w:hAnsi="宋体" w:eastAsia="黑体" w:cs="黑体"/>
          <w:b w:val="0"/>
          <w:bCs/>
          <w:sz w:val="32"/>
          <w:szCs w:val="32"/>
          <w:shd w:val="clear" w:color="auto" w:fill="FFFFFF"/>
        </w:rPr>
        <w:t>工作要求</w:t>
      </w:r>
    </w:p>
    <w:p>
      <w:pPr>
        <w:keepNext w:val="0"/>
        <w:keepLines w:val="0"/>
        <w:pageBreakBefore w:val="0"/>
        <w:kinsoku/>
        <w:wordWrap/>
        <w:overflowPunct/>
        <w:topLinePunct w:val="0"/>
        <w:autoSpaceDE/>
        <w:autoSpaceDN/>
        <w:bidi w:val="0"/>
        <w:adjustRightInd/>
        <w:snapToGrid/>
        <w:spacing w:line="240" w:lineRule="auto"/>
        <w:ind w:firstLine="643" w:firstLineChars="200"/>
        <w:textAlignment w:val="auto"/>
        <w:rPr>
          <w:rFonts w:ascii="宋体" w:hAnsi="宋体" w:cs="仿宋_GB2312"/>
          <w:sz w:val="32"/>
          <w:szCs w:val="32"/>
          <w:shd w:val="clear" w:color="auto" w:fill="FFFFFF"/>
        </w:rPr>
      </w:pPr>
      <w:r>
        <w:rPr>
          <w:rFonts w:hint="eastAsia" w:ascii="宋体" w:hAnsi="宋体" w:eastAsia="楷体_GB2312" w:cs="楷体"/>
          <w:b/>
          <w:bCs/>
          <w:sz w:val="32"/>
          <w:szCs w:val="32"/>
          <w:shd w:val="clear" w:color="auto" w:fill="FFFFFF"/>
        </w:rPr>
        <w:t>（一）开展区域统一评估。</w:t>
      </w:r>
      <w:r>
        <w:rPr>
          <w:rFonts w:hint="eastAsia" w:ascii="宋体" w:hAnsi="宋体" w:cs="仿宋_GB2312"/>
          <w:sz w:val="32"/>
          <w:szCs w:val="32"/>
          <w:shd w:val="clear" w:color="auto" w:fill="FFFFFF"/>
        </w:rPr>
        <w:t>在符合区域评估相关规定、国土空间规划和用途管制、生态环境分区管控要求的前提下，由开发区管委会统一组织对开发区整体或分区域完成环境影响评价、节能评估、水资源论证、水土保持评估、压覆重要矿产资源评估、地质灾害危险性评估等评估评价事项，并向社会公开评估评价成果，推动“多评合一”和成果共享共用。结合评估评价情况，完善项目准入要求，并向社会公布负面清单。第一批区域统一评估以及负面清单公布工作要在</w:t>
      </w:r>
      <w:r>
        <w:rPr>
          <w:rFonts w:hint="eastAsia" w:ascii="宋体" w:hAnsi="宋体" w:eastAsia="宋体" w:cs="宋体"/>
          <w:kern w:val="0"/>
          <w:sz w:val="32"/>
          <w:szCs w:val="32"/>
          <w:shd w:val="clear" w:color="auto" w:fill="FFFFFF"/>
        </w:rPr>
        <w:t>2023</w:t>
      </w:r>
      <w:r>
        <w:rPr>
          <w:rFonts w:hint="eastAsia" w:ascii="宋体" w:hAnsi="宋体" w:cs="仿宋_GB2312"/>
          <w:sz w:val="32"/>
          <w:szCs w:val="32"/>
          <w:shd w:val="clear" w:color="auto" w:fill="FFFFFF"/>
        </w:rPr>
        <w:t>年底前全面完成。</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宋体" w:hAnsi="宋体" w:eastAsia="楷体_GB2312" w:cs="黑体"/>
          <w:sz w:val="32"/>
          <w:szCs w:val="32"/>
          <w:shd w:val="clear" w:color="auto" w:fill="FFFFFF"/>
        </w:rPr>
      </w:pPr>
      <w:r>
        <w:rPr>
          <w:rFonts w:hint="eastAsia" w:ascii="宋体" w:hAnsi="宋体" w:eastAsia="楷体_GB2312" w:cs="黑体"/>
          <w:sz w:val="32"/>
          <w:szCs w:val="32"/>
          <w:shd w:val="clear" w:color="auto" w:fill="FFFFFF"/>
        </w:rPr>
        <w:t>责任单位：各县（市、区）人民政府，市发改委、工信局、自然资源局、生态环境局、水利局、商务局等部门按照职责分工负责；以下均需各县（市、区）人民政府落实，不再列出</w:t>
      </w:r>
    </w:p>
    <w:p>
      <w:pPr>
        <w:pStyle w:val="9"/>
        <w:keepNext w:val="0"/>
        <w:keepLines w:val="0"/>
        <w:pageBreakBefore w:val="0"/>
        <w:widowControl/>
        <w:kinsoku/>
        <w:wordWrap/>
        <w:overflowPunct/>
        <w:topLinePunct w:val="0"/>
        <w:autoSpaceDE/>
        <w:autoSpaceDN/>
        <w:bidi w:val="0"/>
        <w:adjustRightInd/>
        <w:snapToGrid/>
        <w:spacing w:beforeAutospacing="0" w:afterAutospacing="0" w:line="240" w:lineRule="auto"/>
        <w:ind w:firstLine="643" w:firstLineChars="200"/>
        <w:textAlignment w:val="auto"/>
        <w:rPr>
          <w:rFonts w:ascii="宋体" w:hAnsi="宋体" w:cs="仿宋_GB2312"/>
          <w:sz w:val="32"/>
          <w:szCs w:val="32"/>
          <w:shd w:val="clear" w:color="auto" w:fill="FFFFFF"/>
        </w:rPr>
      </w:pPr>
      <w:r>
        <w:rPr>
          <w:rFonts w:hint="eastAsia" w:ascii="宋体" w:hAnsi="宋体" w:eastAsia="楷体_GB2312" w:cs="楷体"/>
          <w:b/>
          <w:bCs/>
          <w:sz w:val="32"/>
          <w:szCs w:val="32"/>
          <w:shd w:val="clear" w:color="auto" w:fill="FFFFFF"/>
        </w:rPr>
        <w:t>（二）构建“标准地”控制性指标。</w:t>
      </w:r>
      <w:r>
        <w:rPr>
          <w:rFonts w:hint="eastAsia" w:ascii="宋体" w:hAnsi="宋体" w:cs="仿宋_GB2312"/>
          <w:sz w:val="32"/>
          <w:szCs w:val="32"/>
          <w:shd w:val="clear" w:color="auto" w:fill="FFFFFF"/>
        </w:rPr>
        <w:t>工业用地“标准地”按照“</w:t>
      </w:r>
      <w:r>
        <w:rPr>
          <w:rFonts w:hint="eastAsia" w:ascii="宋体" w:hAnsi="宋体" w:eastAsia="宋体" w:cs="宋体"/>
          <w:sz w:val="32"/>
          <w:szCs w:val="32"/>
          <w:shd w:val="clear" w:color="auto" w:fill="FFFFFF"/>
        </w:rPr>
        <w:t>2</w:t>
      </w:r>
      <w:r>
        <w:rPr>
          <w:rFonts w:hint="eastAsia" w:ascii="宋体" w:hAnsi="宋体" w:cs="仿宋_GB2312"/>
          <w:sz w:val="32"/>
          <w:szCs w:val="32"/>
          <w:shd w:val="clear" w:color="auto" w:fill="FFFFFF"/>
        </w:rPr>
        <w:t>+X”要求确定控制性指标（标准厂房和商品厂房按照“用地容积率+</w:t>
      </w:r>
      <w:r>
        <w:rPr>
          <w:rFonts w:hint="eastAsia" w:ascii="宋体" w:hAnsi="宋体" w:eastAsia="宋体" w:cs="宋体"/>
          <w:sz w:val="32"/>
          <w:szCs w:val="32"/>
          <w:shd w:val="clear" w:color="auto" w:fill="FFFFFF"/>
        </w:rPr>
        <w:t>X</w:t>
      </w:r>
      <w:r>
        <w:rPr>
          <w:rFonts w:hint="eastAsia" w:ascii="宋体" w:hAnsi="宋体" w:cs="仿宋_GB2312"/>
          <w:sz w:val="32"/>
          <w:szCs w:val="32"/>
          <w:shd w:val="clear" w:color="auto" w:fill="FFFFFF"/>
        </w:rPr>
        <w:t>”要求确定控制性指标），具体由各县（市）人民政府</w:t>
      </w:r>
      <w:r>
        <w:rPr>
          <w:rFonts w:hint="eastAsia" w:ascii="宋体" w:hAnsi="宋体" w:cs="仿宋_GB2312"/>
          <w:sz w:val="32"/>
          <w:szCs w:val="32"/>
          <w:shd w:val="clear" w:color="auto" w:fill="FFFFFF"/>
          <w:lang w:eastAsia="zh-CN"/>
        </w:rPr>
        <w:t>和</w:t>
      </w:r>
      <w:r>
        <w:rPr>
          <w:rFonts w:hint="eastAsia" w:ascii="宋体" w:hAnsi="宋体"/>
          <w:sz w:val="32"/>
          <w:szCs w:val="32"/>
          <w:lang w:eastAsia="zh-CN"/>
        </w:rPr>
        <w:t>市管园区</w:t>
      </w:r>
      <w:r>
        <w:rPr>
          <w:rFonts w:hint="eastAsia" w:ascii="宋体" w:hAnsi="宋体"/>
          <w:sz w:val="32"/>
          <w:szCs w:val="32"/>
        </w:rPr>
        <w:t>开发区管委会</w:t>
      </w:r>
      <w:r>
        <w:rPr>
          <w:rFonts w:hint="eastAsia" w:ascii="宋体" w:hAnsi="宋体" w:cs="仿宋_GB2312"/>
          <w:sz w:val="32"/>
          <w:szCs w:val="32"/>
          <w:shd w:val="clear" w:color="auto" w:fill="FFFFFF"/>
        </w:rPr>
        <w:t>在不低于国家和省相关规定的基础上，结合本地区实际制定。其中，“</w:t>
      </w:r>
      <w:r>
        <w:rPr>
          <w:rFonts w:hint="eastAsia" w:ascii="宋体" w:hAnsi="宋体" w:eastAsia="宋体" w:cs="宋体"/>
          <w:sz w:val="32"/>
          <w:szCs w:val="32"/>
          <w:shd w:val="clear" w:color="auto" w:fill="FFFFFF"/>
        </w:rPr>
        <w:t>2</w:t>
      </w:r>
      <w:r>
        <w:rPr>
          <w:rFonts w:hint="eastAsia" w:ascii="宋体" w:hAnsi="宋体" w:cs="仿宋_GB2312"/>
          <w:sz w:val="32"/>
          <w:szCs w:val="32"/>
          <w:shd w:val="clear" w:color="auto" w:fill="FFFFFF"/>
        </w:rPr>
        <w:t>”即固定资产投资强度和容积率</w:t>
      </w:r>
      <w:r>
        <w:rPr>
          <w:rFonts w:hint="eastAsia" w:ascii="宋体" w:hAnsi="宋体" w:eastAsia="宋体" w:cs="宋体"/>
          <w:sz w:val="32"/>
          <w:szCs w:val="32"/>
          <w:shd w:val="clear" w:color="auto" w:fill="FFFFFF"/>
        </w:rPr>
        <w:t>2</w:t>
      </w:r>
      <w:r>
        <w:rPr>
          <w:rFonts w:hint="eastAsia" w:ascii="宋体" w:hAnsi="宋体" w:cs="仿宋_GB2312"/>
          <w:sz w:val="32"/>
          <w:szCs w:val="32"/>
          <w:shd w:val="clear" w:color="auto" w:fill="FFFFFF"/>
        </w:rPr>
        <w:t>项主干指标，“</w:t>
      </w:r>
      <w:r>
        <w:rPr>
          <w:rFonts w:hint="eastAsia" w:ascii="宋体" w:hAnsi="宋体" w:eastAsia="宋体" w:cs="宋体"/>
          <w:sz w:val="32"/>
          <w:szCs w:val="32"/>
          <w:shd w:val="clear" w:color="auto" w:fill="FFFFFF"/>
        </w:rPr>
        <w:t>X</w:t>
      </w:r>
      <w:r>
        <w:rPr>
          <w:rFonts w:hint="eastAsia" w:ascii="宋体" w:hAnsi="宋体" w:cs="仿宋_GB2312"/>
          <w:sz w:val="32"/>
          <w:szCs w:val="32"/>
          <w:shd w:val="clear" w:color="auto" w:fill="FFFFFF"/>
        </w:rPr>
        <w:t>”即亩均税收、用地规模、单位能耗、排放总量、亩均产值、科研投入等控制性指标。各有关单位在提出控制指标时，应当提出相应的监管要求（包括退出机制），并写入工业用地“标准地”土地出让方案报各县（市、区）人民政府审批，有必要的，还应提出民事违约条款纳入履约监管协议进行管理。自然资源部门负责确定容积率、行政办公及生活服务设施比例、建筑系数、绿地率等标准,出具地块规划设计条件。开发区管委会负责确定单位用地税收、单位用地产出和能耗等标准,出具具体地块相关用地条件。</w:t>
      </w:r>
    </w:p>
    <w:p>
      <w:pPr>
        <w:pStyle w:val="9"/>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ascii="宋体" w:hAnsi="宋体" w:eastAsia="楷体_GB2312" w:cs="黑体"/>
          <w:sz w:val="32"/>
          <w:szCs w:val="32"/>
          <w:shd w:val="clear" w:color="auto" w:fill="FFFFFF"/>
        </w:rPr>
      </w:pPr>
      <w:r>
        <w:rPr>
          <w:rFonts w:hint="eastAsia" w:ascii="宋体" w:hAnsi="宋体" w:cs="仿宋_GB2312"/>
          <w:sz w:val="32"/>
          <w:szCs w:val="32"/>
          <w:shd w:val="clear" w:color="auto" w:fill="FFFFFF"/>
        </w:rPr>
        <w:t>责</w:t>
      </w:r>
      <w:r>
        <w:rPr>
          <w:rFonts w:hint="eastAsia" w:ascii="宋体" w:hAnsi="宋体" w:eastAsia="楷体_GB2312" w:cs="黑体"/>
          <w:sz w:val="32"/>
          <w:szCs w:val="32"/>
          <w:shd w:val="clear" w:color="auto" w:fill="FFFFFF"/>
        </w:rPr>
        <w:t>任单位：市自然资源局牵头，市发改委、工信局、生态环境局、科技局、税务局</w:t>
      </w:r>
    </w:p>
    <w:p>
      <w:pPr>
        <w:pStyle w:val="9"/>
        <w:keepNext w:val="0"/>
        <w:keepLines w:val="0"/>
        <w:pageBreakBefore w:val="0"/>
        <w:widowControl/>
        <w:kinsoku/>
        <w:wordWrap/>
        <w:overflowPunct/>
        <w:topLinePunct w:val="0"/>
        <w:autoSpaceDE/>
        <w:autoSpaceDN/>
        <w:bidi w:val="0"/>
        <w:adjustRightInd/>
        <w:snapToGrid/>
        <w:spacing w:beforeAutospacing="0" w:afterAutospacing="0" w:line="240" w:lineRule="auto"/>
        <w:ind w:firstLine="643" w:firstLineChars="200"/>
        <w:textAlignment w:val="auto"/>
        <w:rPr>
          <w:rFonts w:ascii="宋体" w:hAnsi="宋体" w:cs="仿宋_GB2312"/>
          <w:sz w:val="32"/>
          <w:szCs w:val="32"/>
          <w:shd w:val="clear" w:color="auto" w:fill="FFFFFF"/>
        </w:rPr>
      </w:pPr>
      <w:r>
        <w:rPr>
          <w:rFonts w:hint="eastAsia" w:ascii="宋体" w:hAnsi="宋体" w:eastAsia="楷体_GB2312" w:cs="楷体"/>
          <w:b/>
          <w:bCs/>
          <w:sz w:val="32"/>
          <w:szCs w:val="32"/>
          <w:shd w:val="clear" w:color="auto" w:fill="FFFFFF"/>
        </w:rPr>
        <w:t>（三）严格“净地”出让。</w:t>
      </w:r>
      <w:r>
        <w:rPr>
          <w:rFonts w:hint="eastAsia" w:ascii="宋体" w:hAnsi="宋体" w:cs="仿宋_GB2312"/>
          <w:sz w:val="32"/>
          <w:szCs w:val="32"/>
          <w:shd w:val="clear" w:color="auto" w:fill="FFFFFF"/>
        </w:rPr>
        <w:t>开发区管委会负责纳入“标准地”的工业用地须符合“净地”出让相关规定，落实土地权属、安置补偿等事项，并保障地块具备通水、通电、通路及场地平整等动工开发所必需的其他基本条件。</w:t>
      </w:r>
    </w:p>
    <w:p>
      <w:pPr>
        <w:pStyle w:val="9"/>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宋体" w:hAnsi="宋体" w:eastAsia="楷体_GB2312" w:cs="仿宋_GB2312"/>
          <w:sz w:val="32"/>
          <w:szCs w:val="32"/>
          <w:lang w:eastAsia="zh-CN"/>
        </w:rPr>
      </w:pPr>
      <w:r>
        <w:rPr>
          <w:rFonts w:hint="eastAsia" w:ascii="宋体" w:hAnsi="宋体" w:eastAsia="楷体_GB2312" w:cs="黑体"/>
          <w:sz w:val="32"/>
          <w:szCs w:val="32"/>
          <w:shd w:val="clear" w:color="auto" w:fill="FFFFFF"/>
        </w:rPr>
        <w:t>责任单位：市自然资源局牵头，市住建局</w:t>
      </w:r>
    </w:p>
    <w:p>
      <w:pPr>
        <w:pStyle w:val="9"/>
        <w:keepNext w:val="0"/>
        <w:keepLines w:val="0"/>
        <w:pageBreakBefore w:val="0"/>
        <w:widowControl/>
        <w:kinsoku/>
        <w:wordWrap/>
        <w:overflowPunct/>
        <w:topLinePunct w:val="0"/>
        <w:autoSpaceDE/>
        <w:autoSpaceDN/>
        <w:bidi w:val="0"/>
        <w:adjustRightInd/>
        <w:snapToGrid/>
        <w:spacing w:beforeAutospacing="0" w:afterAutospacing="0" w:line="240" w:lineRule="auto"/>
        <w:ind w:firstLine="643" w:firstLineChars="200"/>
        <w:textAlignment w:val="auto"/>
        <w:rPr>
          <w:rFonts w:ascii="宋体" w:hAnsi="宋体" w:eastAsia="楷体_GB2312" w:cs="楷体"/>
          <w:b/>
          <w:bCs/>
          <w:sz w:val="32"/>
          <w:szCs w:val="32"/>
          <w:shd w:val="clear" w:color="auto" w:fill="FFFFFF"/>
        </w:rPr>
      </w:pPr>
      <w:r>
        <w:rPr>
          <w:rFonts w:hint="eastAsia" w:ascii="宋体" w:hAnsi="宋体" w:eastAsia="楷体_GB2312" w:cs="楷体"/>
          <w:b/>
          <w:bCs/>
          <w:sz w:val="32"/>
          <w:szCs w:val="32"/>
          <w:shd w:val="clear" w:color="auto" w:fill="FFFFFF"/>
        </w:rPr>
        <w:t>（四）明确履约要求。</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宋体" w:hAnsi="宋体"/>
          <w:sz w:val="32"/>
          <w:szCs w:val="32"/>
        </w:rPr>
      </w:pPr>
      <w:r>
        <w:rPr>
          <w:rFonts w:hint="eastAsia" w:ascii="宋体" w:hAnsi="宋体"/>
          <w:sz w:val="32"/>
          <w:szCs w:val="32"/>
        </w:rPr>
        <w:t>自然资源部门编制出让方案报政府批准后,发布出让公</w:t>
      </w:r>
      <w:r>
        <w:rPr>
          <w:rFonts w:hint="eastAsia" w:ascii="宋体" w:hAnsi="宋体" w:cs="仿宋_GB2312"/>
          <w:sz w:val="32"/>
          <w:szCs w:val="32"/>
        </w:rPr>
        <w:t>告。</w:t>
      </w:r>
      <w:r>
        <w:rPr>
          <w:rFonts w:hint="eastAsia" w:ascii="宋体" w:hAnsi="宋体" w:cs="仿宋_GB2312"/>
          <w:sz w:val="32"/>
          <w:szCs w:val="32"/>
          <w:shd w:val="clear" w:color="auto" w:fill="FFFFFF"/>
        </w:rPr>
        <w:t>土地出让公告中应当明确“标准地”控制性指标和监管要求并同时公告履约监管协议，并明确逾期或拒绝签订履约监管协议的，取消竞得人资格，并不予退还竞买保证金。</w:t>
      </w:r>
      <w:r>
        <w:rPr>
          <w:rFonts w:hint="eastAsia" w:ascii="宋体" w:hAnsi="宋体" w:cs="仿宋_GB2312"/>
          <w:sz w:val="32"/>
          <w:szCs w:val="32"/>
        </w:rPr>
        <w:t>用地单位竞得土地后，在与自然资源部门签订土地出让合同时，应同步与</w:t>
      </w:r>
      <w:r>
        <w:rPr>
          <w:rFonts w:hint="eastAsia" w:ascii="宋体" w:hAnsi="宋体"/>
          <w:sz w:val="32"/>
          <w:szCs w:val="32"/>
        </w:rPr>
        <w:t>县（市）政府或其指定的单位</w:t>
      </w:r>
      <w:r>
        <w:rPr>
          <w:rFonts w:hint="eastAsia" w:ascii="宋体" w:hAnsi="宋体"/>
          <w:sz w:val="32"/>
          <w:szCs w:val="32"/>
          <w:lang w:eastAsia="zh-CN"/>
        </w:rPr>
        <w:t>（市管园区范围内为</w:t>
      </w:r>
      <w:r>
        <w:rPr>
          <w:rFonts w:hint="eastAsia" w:ascii="宋体" w:hAnsi="宋体"/>
          <w:sz w:val="32"/>
          <w:szCs w:val="32"/>
        </w:rPr>
        <w:t>开发区管委会</w:t>
      </w:r>
      <w:r>
        <w:rPr>
          <w:rFonts w:hint="eastAsia" w:ascii="宋体" w:hAnsi="宋体"/>
          <w:sz w:val="32"/>
          <w:szCs w:val="32"/>
          <w:lang w:eastAsia="zh-CN"/>
        </w:rPr>
        <w:t>）</w:t>
      </w:r>
      <w:r>
        <w:rPr>
          <w:rFonts w:hint="eastAsia" w:ascii="宋体" w:hAnsi="宋体" w:cs="仿宋_GB2312"/>
          <w:sz w:val="32"/>
          <w:szCs w:val="32"/>
        </w:rPr>
        <w:t>签订履约监管协议。履约监管协议中，应包含</w:t>
      </w:r>
      <w:r>
        <w:rPr>
          <w:rFonts w:hint="eastAsia" w:ascii="宋体" w:hAnsi="宋体" w:cs="仿宋_GB2312"/>
          <w:sz w:val="32"/>
          <w:szCs w:val="32"/>
          <w:shd w:val="clear" w:color="auto" w:fill="FFFFFF"/>
        </w:rPr>
        <w:t>土地出让方案中各有关单位提出的</w:t>
      </w:r>
      <w:r>
        <w:rPr>
          <w:rFonts w:hint="eastAsia" w:ascii="宋体" w:hAnsi="宋体" w:cs="仿宋_GB2312"/>
          <w:sz w:val="32"/>
          <w:szCs w:val="32"/>
        </w:rPr>
        <w:t>控制性指标要求，并按照建设、竣工、达产三个阶段分别明确验收（复核）标准、违约责任、退出条款等内容。</w:t>
      </w:r>
      <w:r>
        <w:rPr>
          <w:rFonts w:hint="eastAsia" w:ascii="宋体" w:hAnsi="宋体"/>
          <w:sz w:val="32"/>
          <w:szCs w:val="32"/>
        </w:rPr>
        <w:t>需带施工图出让的地块,开发区管委会组织相关行政主管部门依法委托具备资质的机构完成方案设计、施工图设计及审查,并作为挂牌出让附件材料。</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ascii="宋体" w:hAnsi="宋体" w:eastAsia="楷体_GB2312" w:cs="黑体"/>
          <w:sz w:val="32"/>
          <w:szCs w:val="32"/>
          <w:shd w:val="clear" w:color="auto" w:fill="FFFFFF"/>
        </w:rPr>
      </w:pPr>
      <w:r>
        <w:rPr>
          <w:rFonts w:hint="eastAsia" w:ascii="宋体" w:hAnsi="宋体" w:eastAsia="楷体_GB2312" w:cs="黑体"/>
          <w:sz w:val="32"/>
          <w:szCs w:val="32"/>
          <w:shd w:val="clear" w:color="auto" w:fill="FFFFFF"/>
        </w:rPr>
        <w:t>责任单位：市自然资源局牵头，市发改委、工信局、生态环境局、住建局、商务局、科技局、税务局</w:t>
      </w:r>
    </w:p>
    <w:p>
      <w:pPr>
        <w:pStyle w:val="9"/>
        <w:keepNext w:val="0"/>
        <w:keepLines w:val="0"/>
        <w:pageBreakBefore w:val="0"/>
        <w:widowControl/>
        <w:kinsoku/>
        <w:wordWrap/>
        <w:overflowPunct/>
        <w:topLinePunct w:val="0"/>
        <w:autoSpaceDE/>
        <w:autoSpaceDN/>
        <w:bidi w:val="0"/>
        <w:adjustRightInd/>
        <w:snapToGrid/>
        <w:spacing w:beforeAutospacing="0" w:afterAutospacing="0" w:line="240" w:lineRule="auto"/>
        <w:ind w:firstLine="643" w:firstLineChars="200"/>
        <w:textAlignment w:val="auto"/>
        <w:rPr>
          <w:rFonts w:ascii="宋体" w:hAnsi="宋体"/>
          <w:sz w:val="32"/>
          <w:szCs w:val="32"/>
        </w:rPr>
      </w:pPr>
      <w:r>
        <w:rPr>
          <w:rFonts w:hint="eastAsia" w:ascii="宋体" w:hAnsi="宋体" w:eastAsia="楷体_GB2312" w:cs="楷体"/>
          <w:b/>
          <w:bCs/>
          <w:sz w:val="32"/>
          <w:szCs w:val="32"/>
          <w:shd w:val="clear" w:color="auto" w:fill="FFFFFF"/>
        </w:rPr>
        <w:t>（五）加强全程监管。</w:t>
      </w:r>
      <w:r>
        <w:rPr>
          <w:rFonts w:hint="eastAsia" w:ascii="宋体" w:hAnsi="宋体" w:cs="仿宋_GB2312"/>
          <w:sz w:val="32"/>
          <w:szCs w:val="32"/>
        </w:rPr>
        <w:t>土地出让后，按照“谁主管、谁提出、谁负责”的原则，</w:t>
      </w:r>
      <w:r>
        <w:rPr>
          <w:rFonts w:hint="eastAsia" w:ascii="宋体" w:hAnsi="宋体"/>
          <w:sz w:val="32"/>
          <w:szCs w:val="32"/>
        </w:rPr>
        <w:t>县（市</w:t>
      </w:r>
      <w:r>
        <w:rPr>
          <w:rFonts w:hint="eastAsia" w:ascii="宋体" w:hAnsi="宋体" w:cs="仿宋_GB2312"/>
          <w:sz w:val="32"/>
          <w:szCs w:val="32"/>
          <w:shd w:val="clear" w:color="auto" w:fill="FFFFFF"/>
        </w:rPr>
        <w:t>）政</w:t>
      </w:r>
      <w:r>
        <w:rPr>
          <w:rFonts w:hint="eastAsia" w:ascii="宋体" w:hAnsi="宋体"/>
          <w:sz w:val="32"/>
          <w:szCs w:val="32"/>
        </w:rPr>
        <w:t>府或</w:t>
      </w:r>
      <w:r>
        <w:rPr>
          <w:rFonts w:hint="eastAsia" w:ascii="宋体" w:hAnsi="宋体"/>
          <w:sz w:val="32"/>
          <w:szCs w:val="32"/>
          <w:lang w:eastAsia="zh-CN"/>
        </w:rPr>
        <w:t>市管园区</w:t>
      </w:r>
      <w:r>
        <w:rPr>
          <w:rFonts w:hint="eastAsia" w:ascii="宋体" w:hAnsi="宋体"/>
          <w:sz w:val="32"/>
          <w:szCs w:val="32"/>
        </w:rPr>
        <w:t>开发区管委会应</w:t>
      </w:r>
      <w:r>
        <w:rPr>
          <w:rFonts w:hint="eastAsia" w:ascii="宋体" w:hAnsi="宋体" w:cs="仿宋_GB2312"/>
          <w:sz w:val="32"/>
          <w:szCs w:val="32"/>
          <w:shd w:val="clear" w:color="auto" w:fill="FFFFFF"/>
        </w:rPr>
        <w:t>建立健全覆盖项目建设、竣工验收、达产复核等环节的监测监管机制，提高精细化管理水平，对照“</w:t>
      </w:r>
      <w:r>
        <w:rPr>
          <w:rFonts w:hint="eastAsia" w:ascii="宋体" w:hAnsi="宋体" w:eastAsia="宋体" w:cs="宋体"/>
          <w:sz w:val="32"/>
          <w:szCs w:val="32"/>
          <w:shd w:val="clear" w:color="auto" w:fill="FFFFFF"/>
        </w:rPr>
        <w:t>2</w:t>
      </w:r>
      <w:r>
        <w:rPr>
          <w:rFonts w:hint="eastAsia" w:ascii="宋体" w:hAnsi="宋体" w:cs="仿宋_GB2312"/>
          <w:sz w:val="32"/>
          <w:szCs w:val="32"/>
          <w:shd w:val="clear" w:color="auto" w:fill="FFFFFF"/>
        </w:rPr>
        <w:t>+</w:t>
      </w:r>
      <w:r>
        <w:rPr>
          <w:rFonts w:hint="eastAsia" w:ascii="宋体" w:hAnsi="宋体" w:eastAsia="宋体" w:cs="宋体"/>
          <w:sz w:val="32"/>
          <w:szCs w:val="32"/>
          <w:shd w:val="clear" w:color="auto" w:fill="FFFFFF"/>
        </w:rPr>
        <w:t>X</w:t>
      </w:r>
      <w:r>
        <w:rPr>
          <w:rFonts w:hint="eastAsia" w:ascii="宋体" w:hAnsi="宋体" w:cs="仿宋_GB2312"/>
          <w:sz w:val="32"/>
          <w:szCs w:val="32"/>
          <w:shd w:val="clear" w:color="auto" w:fill="FFFFFF"/>
        </w:rPr>
        <w:t>”控制性指标，实行全程监管。在建设环节，由自然资源和住建部门负责对项目开工时间进行审核验收，确保工程按照相关规定和既定计划实施。未按合同要求开工的，按</w:t>
      </w:r>
      <w:r>
        <w:rPr>
          <w:rFonts w:hint="eastAsia" w:ascii="宋体" w:hAnsi="宋体" w:cs="仿宋_GB2312"/>
          <w:spacing w:val="1"/>
          <w:sz w:val="32"/>
          <w:szCs w:val="32"/>
        </w:rPr>
        <w:t>《国有建设用地</w:t>
      </w:r>
      <w:r>
        <w:rPr>
          <w:rFonts w:hint="eastAsia" w:ascii="宋体" w:hAnsi="宋体" w:cs="仿宋_GB2312"/>
          <w:spacing w:val="-1"/>
          <w:sz w:val="32"/>
          <w:szCs w:val="32"/>
        </w:rPr>
        <w:t>使用权出让合同》的有关</w:t>
      </w:r>
      <w:r>
        <w:rPr>
          <w:rFonts w:hint="eastAsia" w:ascii="宋体" w:hAnsi="宋体" w:cs="仿宋_GB2312"/>
          <w:sz w:val="32"/>
          <w:szCs w:val="32"/>
        </w:rPr>
        <w:t>条款处理。</w:t>
      </w:r>
      <w:r>
        <w:rPr>
          <w:rFonts w:hint="eastAsia" w:ascii="宋体" w:hAnsi="宋体" w:cs="仿宋_GB2312"/>
          <w:sz w:val="32"/>
          <w:szCs w:val="32"/>
          <w:shd w:val="clear" w:color="auto" w:fill="FFFFFF"/>
        </w:rPr>
        <w:t>在竣工验收环节，由住建部门牵头组织相关部门对建筑质量、规划控制指标、竣工时限、固定资产投资强度以及其他专项指标进行验收。</w:t>
      </w:r>
      <w:r>
        <w:rPr>
          <w:rFonts w:hint="eastAsia" w:ascii="宋体" w:hAnsi="宋体" w:cs="仿宋_GB2312"/>
          <w:spacing w:val="1"/>
          <w:sz w:val="32"/>
          <w:szCs w:val="32"/>
        </w:rPr>
        <w:t>竣工验收</w:t>
      </w:r>
      <w:r>
        <w:rPr>
          <w:rFonts w:hint="eastAsia" w:ascii="宋体" w:hAnsi="宋体" w:cs="仿宋_GB2312"/>
          <w:spacing w:val="-16"/>
          <w:sz w:val="32"/>
          <w:szCs w:val="32"/>
        </w:rPr>
        <w:t>时</w:t>
      </w:r>
      <w:r>
        <w:rPr>
          <w:rFonts w:hint="eastAsia" w:ascii="宋体" w:hAnsi="宋体" w:cs="仿宋_GB2312"/>
          <w:spacing w:val="-8"/>
          <w:sz w:val="32"/>
          <w:szCs w:val="32"/>
        </w:rPr>
        <w:t>不符合监管协议约定的，责令限期整改，</w:t>
      </w:r>
      <w:r>
        <w:rPr>
          <w:rFonts w:hint="eastAsia" w:ascii="宋体" w:hAnsi="宋体" w:cs="仿宋_GB2312"/>
          <w:spacing w:val="-2"/>
          <w:sz w:val="32"/>
          <w:szCs w:val="32"/>
        </w:rPr>
        <w:t>整改后仍不能达到</w:t>
      </w:r>
      <w:r>
        <w:rPr>
          <w:rFonts w:hint="eastAsia" w:ascii="宋体" w:hAnsi="宋体" w:cs="仿宋_GB2312"/>
          <w:spacing w:val="-1"/>
          <w:sz w:val="32"/>
          <w:szCs w:val="32"/>
        </w:rPr>
        <w:t>监管协议约定的，竣工验收不予通过。</w:t>
      </w:r>
      <w:r>
        <w:rPr>
          <w:rFonts w:hint="eastAsia" w:ascii="宋体" w:hAnsi="宋体" w:cs="仿宋_GB2312"/>
          <w:sz w:val="32"/>
          <w:szCs w:val="32"/>
          <w:shd w:val="clear" w:color="auto" w:fill="FFFFFF"/>
        </w:rPr>
        <w:t>在达产复核环节，由开发区管委会牵头发改、工信、生态环境、科技等部门对项目亩均税收、用地规模、单位能耗、排放总量、亩均产值、科研投入开展达产复核验收，并出具达产复核意见书。未达到达产复核标准的,按照履约监管协议约定处置</w:t>
      </w:r>
      <w:r>
        <w:rPr>
          <w:rFonts w:hint="eastAsia" w:ascii="宋体" w:hAnsi="宋体"/>
          <w:sz w:val="32"/>
          <w:szCs w:val="32"/>
        </w:rPr>
        <w:t>。</w:t>
      </w:r>
    </w:p>
    <w:p>
      <w:pPr>
        <w:pStyle w:val="9"/>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ascii="宋体" w:hAnsi="宋体" w:eastAsia="楷体_GB2312" w:cs="黑体"/>
          <w:sz w:val="32"/>
          <w:szCs w:val="32"/>
          <w:shd w:val="clear" w:color="auto" w:fill="FFFFFF"/>
        </w:rPr>
      </w:pPr>
      <w:r>
        <w:rPr>
          <w:rFonts w:hint="eastAsia" w:ascii="宋体" w:hAnsi="宋体" w:eastAsia="楷体_GB2312" w:cs="黑体"/>
          <w:sz w:val="32"/>
          <w:szCs w:val="32"/>
          <w:shd w:val="clear" w:color="auto" w:fill="FFFFFF"/>
        </w:rPr>
        <w:t>责任单位：市发改委、工信局、自然资源局、生态环境局、住建局、商务局、科技局、税务局等部门按照职责分工负责</w:t>
      </w:r>
    </w:p>
    <w:p>
      <w:pPr>
        <w:pStyle w:val="9"/>
        <w:keepNext w:val="0"/>
        <w:keepLines w:val="0"/>
        <w:pageBreakBefore w:val="0"/>
        <w:widowControl/>
        <w:kinsoku/>
        <w:wordWrap/>
        <w:overflowPunct/>
        <w:topLinePunct w:val="0"/>
        <w:autoSpaceDE/>
        <w:autoSpaceDN/>
        <w:bidi w:val="0"/>
        <w:adjustRightInd/>
        <w:snapToGrid/>
        <w:spacing w:beforeAutospacing="0" w:afterAutospacing="0" w:line="240" w:lineRule="auto"/>
        <w:ind w:firstLine="643" w:firstLineChars="200"/>
        <w:textAlignment w:val="auto"/>
        <w:rPr>
          <w:rFonts w:ascii="宋体" w:hAnsi="宋体" w:cs="仿宋_GB2312"/>
          <w:sz w:val="32"/>
          <w:szCs w:val="32"/>
          <w:shd w:val="clear" w:color="auto" w:fill="FFFFFF"/>
        </w:rPr>
      </w:pPr>
      <w:r>
        <w:rPr>
          <w:rFonts w:hint="eastAsia" w:ascii="宋体" w:hAnsi="宋体" w:eastAsia="楷体_GB2312" w:cs="楷体"/>
          <w:b/>
          <w:bCs/>
          <w:sz w:val="32"/>
          <w:szCs w:val="32"/>
          <w:shd w:val="clear" w:color="auto" w:fill="FFFFFF"/>
        </w:rPr>
        <w:t>（六）优化审批服务。</w:t>
      </w:r>
      <w:r>
        <w:rPr>
          <w:rFonts w:hint="eastAsia" w:ascii="宋体" w:hAnsi="宋体" w:cs="仿宋_GB2312"/>
          <w:sz w:val="32"/>
          <w:szCs w:val="32"/>
          <w:shd w:val="clear" w:color="auto" w:fill="FFFFFF"/>
        </w:rPr>
        <w:t>深化工程建设项目审批制度改革，政务服务部门牵头协调做好“标准地”出让地块投资项目审批相关服务工作,实行投资项目“一窗服务”。各部门要提高服务水平，积极配合开展“标准地”项目相关审批代办服务的队伍建设，协助企业完成从项目立项到验收各阶段相关行政审批工作。在符合国家和省相关规定的前提下，支持“标准地”项目审批推行“告知承诺制”。推行“交地即交证”，在缴清土地出让金并交付土地时，为用地单位一并核发不动产权证书。探索“</w:t>
      </w:r>
      <w:r>
        <w:rPr>
          <w:rFonts w:hint="eastAsia" w:ascii="宋体" w:hAnsi="宋体" w:cs="仿宋_GB2312"/>
          <w:sz w:val="32"/>
          <w:szCs w:val="32"/>
          <w:shd w:val="clear" w:color="auto" w:fill="FFFFFF"/>
          <w:lang w:eastAsia="zh-CN"/>
        </w:rPr>
        <w:t>拿</w:t>
      </w:r>
      <w:r>
        <w:rPr>
          <w:rFonts w:hint="eastAsia" w:ascii="宋体" w:hAnsi="宋体" w:cs="仿宋_GB2312"/>
          <w:sz w:val="32"/>
          <w:szCs w:val="32"/>
          <w:shd w:val="clear" w:color="auto" w:fill="FFFFFF"/>
        </w:rPr>
        <w:t>地即开工”，带施工图出让的标准地,在缴清土地出让金并交付土地时，审批部门直接作出行政许可决定,受让人即可开工建设;未带施工图出让的标准地,服务窗口主动告知受让人建设相关经济技术指标及特定标准,受让人根据建设标准作出相应承诺,由政务服务部门在三明市行政服务中心网、三明日报向社会公示</w:t>
      </w:r>
      <w:r>
        <w:rPr>
          <w:rFonts w:hint="eastAsia" w:ascii="宋体" w:hAnsi="宋体" w:eastAsia="宋体" w:cs="宋体"/>
          <w:sz w:val="32"/>
          <w:szCs w:val="32"/>
          <w:shd w:val="clear" w:color="auto" w:fill="FFFFFF"/>
        </w:rPr>
        <w:t>7</w:t>
      </w:r>
      <w:r>
        <w:rPr>
          <w:rFonts w:hint="eastAsia" w:ascii="宋体" w:hAnsi="宋体" w:cs="仿宋_GB2312"/>
          <w:sz w:val="32"/>
          <w:szCs w:val="32"/>
          <w:shd w:val="clear" w:color="auto" w:fill="FFFFFF"/>
        </w:rPr>
        <w:t>日,公示期满无异议的,在缴清土地出让金并交付土地时，以书面形式告知受让人即可开工建设,相关审批部门及时办理相应审批手续；有意向用地单位的标准地，服务窗口在出让公告期内做好意向单位项目设计方案预审并出具预审意见供意向单位进行施工图审查，在缴清土地出让金并交付土地时，审批部门直接作出行政许可决定,受让人即可开工建设。</w:t>
      </w:r>
    </w:p>
    <w:p>
      <w:pPr>
        <w:pStyle w:val="9"/>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ascii="宋体" w:hAnsi="宋体" w:cs="仿宋_GB2312"/>
          <w:sz w:val="32"/>
          <w:szCs w:val="32"/>
          <w:shd w:val="clear" w:color="auto" w:fill="FFFFFF"/>
        </w:rPr>
      </w:pPr>
      <w:r>
        <w:rPr>
          <w:rFonts w:hint="eastAsia" w:ascii="宋体" w:hAnsi="宋体" w:eastAsia="楷体_GB2312" w:cs="黑体"/>
          <w:sz w:val="32"/>
          <w:szCs w:val="32"/>
          <w:shd w:val="clear" w:color="auto" w:fill="FFFFFF"/>
        </w:rPr>
        <w:t>责任单位：市住建局、自然资源局、发改委等部门按照职责分工负责</w:t>
      </w:r>
    </w:p>
    <w:p>
      <w:pPr>
        <w:pStyle w:val="9"/>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Style w:val="12"/>
          <w:rFonts w:ascii="宋体" w:hAnsi="宋体" w:eastAsia="黑体" w:cs="黑体"/>
          <w:b w:val="0"/>
          <w:bCs/>
          <w:sz w:val="32"/>
          <w:szCs w:val="32"/>
          <w:shd w:val="clear" w:color="auto" w:fill="FFFFFF"/>
        </w:rPr>
      </w:pPr>
      <w:r>
        <w:rPr>
          <w:rStyle w:val="12"/>
          <w:rFonts w:hint="eastAsia" w:ascii="宋体" w:hAnsi="宋体" w:eastAsia="黑体" w:cs="黑体"/>
          <w:b w:val="0"/>
          <w:bCs/>
          <w:sz w:val="32"/>
          <w:szCs w:val="32"/>
          <w:shd w:val="clear" w:color="auto" w:fill="FFFFFF"/>
        </w:rPr>
        <w:t>三、保障措施</w:t>
      </w:r>
    </w:p>
    <w:p>
      <w:pPr>
        <w:pStyle w:val="9"/>
        <w:keepNext w:val="0"/>
        <w:keepLines w:val="0"/>
        <w:pageBreakBefore w:val="0"/>
        <w:widowControl/>
        <w:kinsoku/>
        <w:wordWrap/>
        <w:overflowPunct/>
        <w:topLinePunct w:val="0"/>
        <w:autoSpaceDE/>
        <w:autoSpaceDN/>
        <w:bidi w:val="0"/>
        <w:adjustRightInd/>
        <w:snapToGrid/>
        <w:spacing w:beforeAutospacing="0" w:afterAutospacing="0" w:line="240" w:lineRule="auto"/>
        <w:ind w:firstLine="643" w:firstLineChars="200"/>
        <w:textAlignment w:val="auto"/>
        <w:rPr>
          <w:rFonts w:ascii="宋体" w:hAnsi="宋体" w:cs="仿宋_GB2312"/>
          <w:sz w:val="32"/>
          <w:szCs w:val="32"/>
          <w:shd w:val="clear" w:color="auto" w:fill="FFFFFF"/>
        </w:rPr>
      </w:pPr>
      <w:r>
        <w:rPr>
          <w:rFonts w:hint="eastAsia" w:ascii="宋体" w:hAnsi="宋体" w:eastAsia="楷体_GB2312" w:cs="楷体"/>
          <w:b/>
          <w:bCs/>
          <w:sz w:val="32"/>
          <w:szCs w:val="32"/>
          <w:shd w:val="clear" w:color="auto" w:fill="FFFFFF"/>
        </w:rPr>
        <w:t>（一）加强组织领导。</w:t>
      </w:r>
      <w:r>
        <w:rPr>
          <w:rFonts w:hint="eastAsia" w:ascii="宋体" w:hAnsi="宋体" w:cs="仿宋_GB2312"/>
          <w:sz w:val="32"/>
          <w:szCs w:val="32"/>
          <w:shd w:val="clear" w:color="auto" w:fill="FFFFFF"/>
        </w:rPr>
        <w:t>市级由市自然资源局、发改委、工信局会同市科技局、财政局、生态环境局、住建局、水利局、商务局、林业局、税务局和开发区管委会等部门建立工业用地“标准地”改革局际联席会议，负责统筹组织推进全市工业用地“标准地”改革工作，协调解决改革推进中的重大问题。局际联席会议要加强对各县（市、区）的指导，研究制定工业用地“标准地”改革工作指引、操作流程等，规范推进改革工作。</w:t>
      </w:r>
    </w:p>
    <w:p>
      <w:pPr>
        <w:pStyle w:val="9"/>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ascii="宋体" w:hAnsi="宋体" w:cs="仿宋_GB2312"/>
          <w:sz w:val="32"/>
          <w:szCs w:val="32"/>
          <w:shd w:val="clear" w:color="auto" w:fill="FFFFFF"/>
        </w:rPr>
      </w:pPr>
      <w:r>
        <w:rPr>
          <w:rFonts w:hint="eastAsia" w:ascii="宋体" w:hAnsi="宋体" w:cs="仿宋_GB2312"/>
          <w:sz w:val="32"/>
          <w:szCs w:val="32"/>
          <w:shd w:val="clear" w:color="auto" w:fill="FFFFFF"/>
        </w:rPr>
        <w:t>各县（市、区）人民政府要强化落实主体责任，加强改革工作组织领导，建立改革工作协调机制，依法依规、上下联动、细化措施、统筹安排,合力推进改革具体工作，确保取得实实在在改革成效。</w:t>
      </w:r>
    </w:p>
    <w:p>
      <w:pPr>
        <w:pStyle w:val="9"/>
        <w:keepNext w:val="0"/>
        <w:keepLines w:val="0"/>
        <w:pageBreakBefore w:val="0"/>
        <w:widowControl/>
        <w:kinsoku/>
        <w:wordWrap/>
        <w:overflowPunct/>
        <w:topLinePunct w:val="0"/>
        <w:autoSpaceDE/>
        <w:autoSpaceDN/>
        <w:bidi w:val="0"/>
        <w:adjustRightInd/>
        <w:snapToGrid/>
        <w:spacing w:beforeAutospacing="0" w:afterAutospacing="0" w:line="240" w:lineRule="auto"/>
        <w:ind w:firstLine="643" w:firstLineChars="200"/>
        <w:textAlignment w:val="auto"/>
        <w:rPr>
          <w:rFonts w:ascii="宋体" w:hAnsi="宋体" w:cs="仿宋_GB2312"/>
          <w:sz w:val="32"/>
          <w:szCs w:val="32"/>
        </w:rPr>
      </w:pPr>
      <w:r>
        <w:rPr>
          <w:rFonts w:hint="eastAsia" w:ascii="宋体" w:hAnsi="宋体" w:eastAsia="楷体_GB2312" w:cs="楷体"/>
          <w:b/>
          <w:bCs/>
          <w:sz w:val="32"/>
          <w:szCs w:val="32"/>
          <w:shd w:val="clear" w:color="auto" w:fill="FFFFFF"/>
        </w:rPr>
        <w:t>（二）加强正向激励。</w:t>
      </w:r>
      <w:r>
        <w:rPr>
          <w:rFonts w:hint="eastAsia" w:ascii="宋体" w:hAnsi="宋体" w:cs="仿宋_GB2312"/>
          <w:sz w:val="32"/>
          <w:szCs w:val="32"/>
          <w:shd w:val="clear" w:color="auto" w:fill="FFFFFF"/>
        </w:rPr>
        <w:t>局际联席会议要对各县（市、区）工业用地“标准地”改革工作统筹开展年度评估，从制度机制建立情况、改革具体实施成效等方面进行综合评价，对改革工作成效显著的给予正向激励，市级安排年度新增建设用地指标奖励，确保改革工作顺利推进、落到实处。</w:t>
      </w:r>
    </w:p>
    <w:p>
      <w:pPr>
        <w:pStyle w:val="9"/>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ascii="宋体" w:hAnsi="宋体" w:cs="仿宋_GB2312"/>
          <w:sz w:val="32"/>
          <w:szCs w:val="32"/>
          <w:shd w:val="clear" w:color="auto" w:fill="FFFFFF"/>
        </w:rPr>
      </w:pPr>
      <w:r>
        <w:rPr>
          <w:rFonts w:hint="eastAsia" w:ascii="宋体" w:hAnsi="宋体" w:cs="仿宋_GB2312"/>
          <w:sz w:val="32"/>
          <w:szCs w:val="32"/>
          <w:shd w:val="clear" w:color="auto" w:fill="FFFFFF"/>
        </w:rPr>
        <w:t>各县（市、区）人民政府要组织开发区管理机构和相关部门根据土地出让合同和履约监管协议，加强对工业项目履约情况的监管，对如期履约、亩均产值高、亩均税收高、示范效应好的，同级财政可按规定给予适当奖励；对履约不到位的，要及时督促限期整改，经整改仍未达到要求的，坚决依法依规依约严肃处置。对未履行约定和承诺的企业实施联合惩戒,情节严重的依法纳入失信黑名单予以曝光公示,限制其参与土地竞买。</w:t>
      </w:r>
    </w:p>
    <w:p>
      <w:pPr>
        <w:pStyle w:val="9"/>
        <w:keepNext w:val="0"/>
        <w:keepLines w:val="0"/>
        <w:pageBreakBefore w:val="0"/>
        <w:widowControl/>
        <w:kinsoku/>
        <w:wordWrap/>
        <w:overflowPunct/>
        <w:topLinePunct w:val="0"/>
        <w:autoSpaceDE/>
        <w:autoSpaceDN/>
        <w:bidi w:val="0"/>
        <w:adjustRightInd/>
        <w:snapToGrid/>
        <w:spacing w:beforeAutospacing="0" w:afterAutospacing="0" w:line="240" w:lineRule="auto"/>
        <w:ind w:firstLine="643" w:firstLineChars="200"/>
        <w:textAlignment w:val="auto"/>
        <w:rPr>
          <w:rFonts w:ascii="宋体" w:hAnsi="宋体"/>
          <w:sz w:val="32"/>
          <w:szCs w:val="32"/>
        </w:rPr>
      </w:pPr>
      <w:r>
        <w:rPr>
          <w:rFonts w:hint="eastAsia" w:ascii="宋体" w:hAnsi="宋体" w:eastAsia="楷体_GB2312" w:cs="楷体"/>
          <w:b/>
          <w:bCs/>
          <w:sz w:val="32"/>
          <w:szCs w:val="32"/>
          <w:shd w:val="clear" w:color="auto" w:fill="FFFFFF"/>
        </w:rPr>
        <w:t>（三）加强宣传引导。</w:t>
      </w:r>
      <w:r>
        <w:rPr>
          <w:rFonts w:hint="eastAsia" w:ascii="宋体" w:hAnsi="宋体" w:cs="仿宋_GB2312"/>
          <w:sz w:val="32"/>
          <w:szCs w:val="32"/>
          <w:shd w:val="clear" w:color="auto" w:fill="FFFFFF"/>
        </w:rPr>
        <w:t>各级各相关部门要广泛宣传工业用地“标准地”改革工作，充分利用电视、广播、报纸和新媒体及时准确发布改革信息，通俗易懂做好政策解读，正确引导社会预期，营造良好舆论氛围。认真总结推广先进经验、典型做法,组织召开企业座谈会,根据信息反馈情况进一步改进完善政策,不断提高改革质量,持续优化营商环境。 </w:t>
      </w: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7</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7</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lZjEwYWE3NjM4ZDkzNTU4MWUyZTZlMzBmYzFkMWMifQ=="/>
  </w:docVars>
  <w:rsids>
    <w:rsidRoot w:val="0D295AD5"/>
    <w:rsid w:val="00090778"/>
    <w:rsid w:val="00484954"/>
    <w:rsid w:val="004D5589"/>
    <w:rsid w:val="01CE57B8"/>
    <w:rsid w:val="06FD6A9C"/>
    <w:rsid w:val="07196284"/>
    <w:rsid w:val="095E5C31"/>
    <w:rsid w:val="0C6524F1"/>
    <w:rsid w:val="0D295AD5"/>
    <w:rsid w:val="0F79249C"/>
    <w:rsid w:val="1212349F"/>
    <w:rsid w:val="124A70DD"/>
    <w:rsid w:val="181D3326"/>
    <w:rsid w:val="19B47531"/>
    <w:rsid w:val="1D456945"/>
    <w:rsid w:val="26FD5D0B"/>
    <w:rsid w:val="2A3873C3"/>
    <w:rsid w:val="310B6BF3"/>
    <w:rsid w:val="36C3270A"/>
    <w:rsid w:val="37657060"/>
    <w:rsid w:val="38D02376"/>
    <w:rsid w:val="3DFE4388"/>
    <w:rsid w:val="446A7659"/>
    <w:rsid w:val="4A9D6F86"/>
    <w:rsid w:val="59805B2A"/>
    <w:rsid w:val="5F230066"/>
    <w:rsid w:val="607E12CC"/>
    <w:rsid w:val="6D0E0751"/>
    <w:rsid w:val="71D50007"/>
    <w:rsid w:val="752124FA"/>
    <w:rsid w:val="76C1315F"/>
    <w:rsid w:val="79F03C35"/>
    <w:rsid w:val="7A4B0019"/>
    <w:rsid w:val="DFD592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4">
    <w:name w:val="heading 1"/>
    <w:basedOn w:val="1"/>
    <w:next w:val="1"/>
    <w:qFormat/>
    <w:uiPriority w:val="0"/>
    <w:pPr>
      <w:keepNext/>
      <w:keepLines/>
      <w:spacing w:line="600" w:lineRule="exact"/>
      <w:jc w:val="center"/>
      <w:outlineLvl w:val="0"/>
    </w:pPr>
    <w:rPr>
      <w:rFonts w:ascii="Calibri" w:hAnsi="Calibri" w:eastAsia="方正小标宋简体"/>
      <w:kern w:val="44"/>
      <w:sz w:val="36"/>
    </w:rPr>
  </w:style>
  <w:style w:type="paragraph" w:styleId="5">
    <w:name w:val="heading 2"/>
    <w:basedOn w:val="1"/>
    <w:next w:val="1"/>
    <w:semiHidden/>
    <w:unhideWhenUsed/>
    <w:qFormat/>
    <w:uiPriority w:val="0"/>
    <w:pPr>
      <w:keepNext/>
      <w:keepLines/>
      <w:spacing w:line="413" w:lineRule="auto"/>
      <w:outlineLvl w:val="1"/>
    </w:pPr>
    <w:rPr>
      <w:rFonts w:ascii="宋体" w:hAnsi="宋体" w:eastAsia="方正仿宋_GB2312" w:cstheme="minorBidi"/>
      <w:b/>
    </w:rPr>
  </w:style>
  <w:style w:type="paragraph" w:styleId="6">
    <w:name w:val="heading 3"/>
    <w:basedOn w:val="1"/>
    <w:next w:val="1"/>
    <w:qFormat/>
    <w:uiPriority w:val="0"/>
    <w:pPr>
      <w:adjustRightInd w:val="0"/>
      <w:ind w:firstLine="612" w:firstLineChars="200"/>
      <w:outlineLvl w:val="2"/>
    </w:pPr>
    <w:rPr>
      <w:rFonts w:ascii="宋体" w:hAnsi="宋体" w:eastAsia="楷体_GB2312"/>
      <w:b/>
      <w:sz w:val="31"/>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1"/>
    <w:next w:val="3"/>
    <w:qFormat/>
    <w:uiPriority w:val="0"/>
    <w:pPr>
      <w:spacing w:after="120"/>
      <w:ind w:left="420" w:leftChars="200" w:firstLine="420" w:firstLineChars="200"/>
    </w:pPr>
    <w:rPr>
      <w:rFonts w:eastAsia="宋体"/>
      <w:sz w:val="21"/>
    </w:rPr>
  </w:style>
  <w:style w:type="paragraph" w:styleId="3">
    <w:name w:val="index 6"/>
    <w:next w:val="1"/>
    <w:qFormat/>
    <w:uiPriority w:val="0"/>
    <w:pPr>
      <w:widowControl w:val="0"/>
      <w:ind w:left="2100"/>
      <w:jc w:val="both"/>
    </w:pPr>
    <w:rPr>
      <w:rFonts w:ascii="Times New Roman" w:hAnsi="Times New Roman" w:eastAsia="宋体" w:cs="Times New Roman"/>
      <w:kern w:val="2"/>
      <w:sz w:val="21"/>
      <w:lang w:val="en-US" w:eastAsia="zh-CN" w:bidi="ar-SA"/>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4"/>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pPr>
    <w:rPr>
      <w:kern w:val="0"/>
      <w:sz w:val="24"/>
    </w:rPr>
  </w:style>
  <w:style w:type="character" w:styleId="12">
    <w:name w:val="Strong"/>
    <w:basedOn w:val="11"/>
    <w:qFormat/>
    <w:uiPriority w:val="0"/>
    <w:rPr>
      <w:b/>
    </w:rPr>
  </w:style>
  <w:style w:type="paragraph" w:customStyle="1" w:styleId="13">
    <w:name w:val="正文+数字"/>
    <w:basedOn w:val="1"/>
    <w:qFormat/>
    <w:uiPriority w:val="0"/>
    <w:pPr>
      <w:ind w:firstLine="643" w:firstLineChars="200"/>
    </w:pPr>
    <w:rPr>
      <w:rFonts w:ascii="宋体" w:hAnsi="宋体" w:cs="仿宋_GB2312"/>
    </w:rPr>
  </w:style>
  <w:style w:type="character" w:customStyle="1" w:styleId="14">
    <w:name w:val="页眉 Char"/>
    <w:basedOn w:val="11"/>
    <w:link w:val="8"/>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3433</Words>
  <Characters>3453</Characters>
  <Lines>41</Lines>
  <Paragraphs>11</Paragraphs>
  <TotalTime>3</TotalTime>
  <ScaleCrop>false</ScaleCrop>
  <LinksUpToDate>false</LinksUpToDate>
  <CharactersWithSpaces>3454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2023-05-28T21:59:00Z</dcterms:created>
  <dc:creator>st圈圈叉叉</dc:creator>
  <cp:lastModifiedBy>st圈圈叉叉</cp:lastModifiedBy>
  <cp:lastPrinted>2023-06-19T01:26:55Z</cp:lastPrinted>
  <dcterms:modified xsi:type="dcterms:W3CDTF">2023-06-20T08:58:56Z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7D40B28998954BFF802F18B2547B2996_13</vt:lpwstr>
  </property>
</Properties>
</file>