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eastAsia="方正小标宋_GBK"/>
          <w:sz w:val="30"/>
          <w:szCs w:val="30"/>
        </w:rPr>
      </w:pPr>
      <w:bookmarkStart w:id="0" w:name="OLE_LINK5"/>
      <w:r>
        <w:rPr>
          <w:rFonts w:hint="eastAsia" w:ascii="方正小标宋_GBK" w:eastAsia="方正小标宋_GBK"/>
          <w:sz w:val="30"/>
          <w:szCs w:val="30"/>
        </w:rPr>
        <w:t>附件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</w:p>
    <w:bookmarkEnd w:id="0"/>
    <w:p>
      <w:pPr>
        <w:pStyle w:val="10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1" w:name="OLE_LINK1"/>
      <w:bookmarkStart w:id="2" w:name="OLE_LINK2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三明市“十五五”城市更新专项规划</w:t>
      </w:r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编制内容</w:t>
      </w:r>
      <w:bookmarkEnd w:id="2"/>
    </w:p>
    <w:tbl>
      <w:tblPr>
        <w:tblStyle w:val="11"/>
        <w:tblW w:w="14465" w:type="dxa"/>
        <w:jc w:val="center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1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一、城市体检</w:t>
            </w:r>
          </w:p>
        </w:tc>
        <w:tc>
          <w:tcPr>
            <w:tcW w:w="12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sz w:val="24"/>
                <w:szCs w:val="24"/>
              </w:rPr>
              <w:t>三明市中心城区城市体检主要依托城区（城市）、街区、小区（社区）、住房4个维度的城市体检基础指标，构建“城区-街区-小区-住房”层层递进的城市体检体系，对三明市进行全方位、全维度的精细化体检，因地制宜制定差异化提升策略，有针对性地开展城市更新，为提升城市综合承载能力和城市治理能力现代化水平奠定坚实基础，提高城市宜居、绿色、人文、韧性、智慧水平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（一）规划内容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1.构建体检指标体系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结合三明市实际需求与特色，建立“部级+省级”城市体检指标体系，做到可量化、可感知、可评价。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2.分解工作任务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深刻理解城市体检工作要求，细化量化城市体检工作任务，根据三明相关单位工作职责，制定形成2025年三明市城市体检指标及工作任务分解表，明确体检指标名称、计算方式、责任单位、参考标准等内容，实现工作高效联动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3.数据采集填报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积极推动各单位按任务分工完成指标数据采集，充分发挥城市体检评估信息平台优势，以政府部门公开发布的统计数据为基础，结合互联网大数据、遥感数据、专项调查数据等，多管齐下获取指标相关的多源数据，建立城区（城市）体检基础数据库。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组织街道和社区工作人员、物业服务企业、专业单位共同参与街区、小区（社区）、住房维度体检数据采集，以人工调研为主，开展现场调研、数据填报和数据汇总工作。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加强居民问卷抽样调查工作，充分听取公众意见和建议，为编制城市体检报告提供数据支撑。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4.开展分析评价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城区（城市）维度重点就生态宜居、历史文化保护利用、产城融合职住平衡、安全韧性、智慧高效等5个方面的发展短板进行系统梳理。对标国家有关要求、相关“十四五”规划以及同类型城市发展状况，</w:t>
            </w:r>
            <w:bookmarkStart w:id="3" w:name="OLE_LINK33"/>
            <w:r>
              <w:rPr>
                <w:rFonts w:ascii="宋体" w:hAnsi="宋体" w:cstheme="minorEastAsia"/>
                <w:sz w:val="24"/>
                <w:szCs w:val="24"/>
              </w:rPr>
              <w:t>查找影响城市竞争力、承载力与可持续发展水平的短板弱项</w:t>
            </w:r>
            <w:bookmarkEnd w:id="3"/>
            <w:r>
              <w:rPr>
                <w:rFonts w:ascii="宋体" w:hAnsi="宋体" w:cstheme="minorEastAsia"/>
                <w:sz w:val="24"/>
                <w:szCs w:val="24"/>
              </w:rPr>
              <w:t>。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街区、小区（社区）、住房维度，结合人口规模、建筑年代等基本数据进行叠加分析，形成各维度指标调查表。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5.形成问题清单、整治建议清单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城区维度，综合城区（城市）维度的指标分析结果，参考居民抽样调查结果，按照相关问题分类，形成问题清单。结合城市更新工作和专项工作对问题清单进行归类转化，根据政府计划提出整治建议清单。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街区维度，查找公共服务设施缺口以及街道环境整治、更新改造方面的问题，整合形成街区维度调查表、问题清单和整治建议清单。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小区（社区）维度，查找养老、婴幼儿照护、托幼、小学、停车、充电、活动场地、步行环境等设施场地的问题，摸清物业管理、智慧服务等方面的问题，整合形成小区（社区）维度调查表、问题清单和整治建议清单。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住房维度体检，摸清存在使用安全、燃气安全、楼道安全、围护安全、住宅性能、管线管道、入户水质等方面问题的既有住宅底数；摸查适老改造、节能改造、数字家庭的需求底数，形成住房维度调查表、问题清单和整治建议清单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6.编制体检报告</w:t>
            </w:r>
          </w:p>
          <w:p>
            <w:pPr>
              <w:pStyle w:val="17"/>
              <w:spacing w:line="400" w:lineRule="exact"/>
              <w:ind w:firstLine="480" w:firstLineChars="200"/>
              <w:jc w:val="both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>按照城市体检工作任务要求，在城区（城市）、街区、小区（社区）、住房维度分析评价结果的基础上，按照轻重缓急原则对体检发现的问题进行系统梳理、诊断分析，将问题分为限时解决和尽力解决两类，提出问题清单和整治建议清单，形成《2025年度三明市城市自体检报告》。</w:t>
            </w:r>
          </w:p>
          <w:p>
            <w:pPr>
              <w:pStyle w:val="17"/>
              <w:spacing w:line="400" w:lineRule="exact"/>
              <w:ind w:firstLine="482" w:firstLineChars="200"/>
              <w:outlineLvl w:val="3"/>
              <w:rPr>
                <w:rFonts w:hint="default" w:ascii="宋体" w:hAnsi="宋体" w:cs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/>
                <w:b/>
                <w:bCs/>
                <w:sz w:val="24"/>
                <w:szCs w:val="24"/>
              </w:rPr>
              <w:t>（二）成果构成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宋体" w:hAnsi="宋体"/>
              </w:rPr>
            </w:pPr>
            <w:bookmarkStart w:id="4" w:name="OLE_LINK6"/>
            <w:r>
              <w:rPr>
                <w:rFonts w:hint="eastAsia" w:eastAsiaTheme="minorEastAsia" w:cstheme="minorEastAsia"/>
                <w:sz w:val="24"/>
                <w:szCs w:val="24"/>
              </w:rPr>
              <w:t>《三明市</w:t>
            </w:r>
            <w:bookmarkStart w:id="5" w:name="_Hlk195001199"/>
            <w:r>
              <w:rPr>
                <w:rFonts w:hint="eastAsia" w:eastAsiaTheme="minorEastAsia" w:cstheme="minorEastAsia"/>
                <w:sz w:val="24"/>
                <w:szCs w:val="24"/>
              </w:rPr>
              <w:t>中心城区</w:t>
            </w:r>
            <w:bookmarkStart w:id="6" w:name="_Hlk195012164"/>
            <w:r>
              <w:rPr>
                <w:rFonts w:hint="eastAsia" w:eastAsiaTheme="minorEastAsia" w:cstheme="minorEastAsia"/>
                <w:sz w:val="24"/>
                <w:szCs w:val="24"/>
              </w:rPr>
              <w:t>2025年度</w:t>
            </w:r>
            <w:bookmarkEnd w:id="5"/>
            <w:bookmarkEnd w:id="6"/>
            <w:r>
              <w:rPr>
                <w:rFonts w:hint="eastAsia" w:eastAsiaTheme="minorEastAsia" w:cstheme="minorEastAsia"/>
                <w:sz w:val="24"/>
                <w:szCs w:val="24"/>
              </w:rPr>
              <w:t>城市体检主报告》</w:t>
            </w:r>
            <w:bookmarkEnd w:id="4"/>
            <w:r>
              <w:rPr>
                <w:rFonts w:hint="eastAsia" w:eastAsiaTheme="minorEastAsia" w:cstheme="minorEastAsia"/>
                <w:sz w:val="24"/>
                <w:szCs w:val="24"/>
              </w:rPr>
              <w:t>《三明市“三沙永”组团融合发展2025年度体检评估专篇》《历史文化名城体检评估专篇》《民生基础设施体检评估专篇》及建设体检信息平台。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二、城市更新五年建设规划</w:t>
            </w:r>
          </w:p>
        </w:tc>
        <w:tc>
          <w:tcPr>
            <w:tcW w:w="12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bookmarkStart w:id="7" w:name="OLE_LINK25"/>
            <w:r>
              <w:rPr>
                <w:rFonts w:hint="eastAsia" w:eastAsia="宋体" w:cs="宋体"/>
                <w:kern w:val="0"/>
                <w:sz w:val="24"/>
                <w:szCs w:val="24"/>
              </w:rPr>
              <w:t>三明市（中心城区）城市更新五年建设规划以城市体检为基础，从目标、策略、路径、保障等维度对城市更新工作进行全局性、系统性的谋划和安排，持续优化完善三明市中心城区城市空间形态和城市功能。</w:t>
            </w:r>
          </w:p>
          <w:bookmarkEnd w:id="7"/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（一）规划内容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城市更新专项规划编制内容包括规划目标、更新对象、空间指引、实施策略及保障机制等。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1.进行中心城区城市更新现状评估。</w:t>
            </w:r>
            <w:r>
              <w:rPr>
                <w:rFonts w:hint="eastAsia" w:eastAsia="宋体" w:cs="宋体"/>
                <w:sz w:val="24"/>
                <w:szCs w:val="24"/>
              </w:rPr>
              <w:t>做好城市更新规划与城市体检评估、与国民经济和社会发展规划、国土空间规划及其他相关规划和行动计划的衔接，并进行更新潜力资源类别、权属规模、空间分布、现状建设特征等进行梳理、分析。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2.提出城市更新目标策略。</w:t>
            </w:r>
            <w:r>
              <w:rPr>
                <w:rFonts w:hint="eastAsia" w:eastAsia="宋体" w:cs="宋体"/>
                <w:sz w:val="24"/>
                <w:szCs w:val="24"/>
              </w:rPr>
              <w:t>围绕强化城市生命有机体、提升三明城市竞争力和可持续发展能力，结合城市发展阶段和特征提出城市更新的近远期目标。考虑三明实际情况，提出系统引导、成片更新、分区推进等更新空间策略；提出留、改、拆、增等更新实施策略；提出分片统筹、分期推进等更新行动策略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3.明确城市更新行动任务。</w:t>
            </w:r>
            <w:r>
              <w:rPr>
                <w:rFonts w:hint="eastAsia" w:eastAsia="宋体" w:cs="宋体"/>
                <w:sz w:val="24"/>
                <w:szCs w:val="24"/>
              </w:rPr>
              <w:t>以三明城市问题为基础，明确各项任务更新目标，提出更新行动策略和重点建设举措，明确底线约束和保护管控要求，以及必要的规划、管理、运营要求。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4.划分城市更新片区（单元），提出指引要求。</w:t>
            </w:r>
            <w:r>
              <w:rPr>
                <w:rFonts w:hint="eastAsia" w:eastAsia="宋体" w:cs="宋体"/>
                <w:sz w:val="24"/>
                <w:szCs w:val="24"/>
              </w:rPr>
              <w:t>更新片区和更新单元的划分以底线约束、民生优先、连片更新、面向实施为原则，以引导更新资源集聚为前提，以支撑城市发展战略、持续优化功能布局为导向，与行政区划边界相协调，与道路、河流、山体等地理边界以及风貌样板区、未来社区、国土空间详细规划等单元边界相衔接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更新片区（单元）指引聚焦重点空间、近期实施意图区域等进行分析与研判，提出更新实施路径与行动方案。明确片区范围，综合梳理各类更新潜力资源，提出更新目标、策略路径、主导功能和土地利用,明确更新约束管控条件和建设措施，研判更新实施的时序、模式和措施，并提出反馈详细规划要求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5.制定城市更新实施计划。</w:t>
            </w:r>
            <w:r>
              <w:rPr>
                <w:rFonts w:hint="eastAsia" w:eastAsia="宋体" w:cs="宋体"/>
                <w:sz w:val="24"/>
                <w:szCs w:val="24"/>
              </w:rPr>
              <w:t>提出更新行动总体安排、近期行动计划（十五五期间）及年度实施计划，明确实施重点内容和重点空间，提出更新实施组织与模式建议。制定重点项目库，明确项目类别、名称、主要建设内容和更新实施模式等内容，提出责任主体、实施时序等建议，进行基本的投资规模估算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提出保障措施建议，反馈详细规划调整需求与要求；针对三明市城市更新实际情况，提出健全工作机制、多元实施主体、完善法规政策、创新标准规范、开展实施监督等方面的保障措施与建议。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（二）成果构成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Theme="minorEastAsia" w:cstheme="minorEastAsia"/>
                <w:sz w:val="24"/>
                <w:szCs w:val="24"/>
              </w:rPr>
              <w:t>《三明市（中心城区）城市更新五年建设专项规划》</w:t>
            </w:r>
            <w:bookmarkStart w:id="8" w:name="_GoBack"/>
            <w:bookmarkEnd w:id="8"/>
            <w:r>
              <w:rPr>
                <w:rFonts w:hint="eastAsia" w:eastAsiaTheme="minorEastAsia" w:cstheme="minorEastAsia"/>
                <w:sz w:val="24"/>
                <w:szCs w:val="24"/>
              </w:rPr>
              <w:t>《三明市（中心城区）十五五城市更新专项规划》。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三、重点地区详细城市设计</w:t>
            </w:r>
          </w:p>
        </w:tc>
        <w:tc>
          <w:tcPr>
            <w:tcW w:w="1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根据城市更新专项规划研究成果，选取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宋体" w:cs="宋体"/>
                <w:sz w:val="24"/>
                <w:szCs w:val="24"/>
              </w:rPr>
              <w:t>个重点地区进行详细城市设计，对其景观风貌、公共空间、建筑形态等方面进行精细化设计，打造城市样板。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（一）规划设计内容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落实城市更新专项规划的要求，统筹优化地区功能布局和空间结构，对景观风貌、公共空间、建筑形态等方面进行精细化设计，打造具有更高品质的城市地区。主要包括：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1.土地利用与系统布局：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依据现状用地及更新难易程度制定更新改造方案，围绕功能定位搭建规划框架，确定地区空间结构和用地布局，就道路交通组织、绿地与开放空间布局、配套设施供给等问题展开系统研究。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2.空间形态与风貌塑造：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协调建成环境与自然环境、新建建筑与保留建筑的关系，运用城市设计方法与技术手段对建筑群体、公共空间、环境景观、地下空间等要素进行分析与设计，并通过空间模拟直观展现空间效果。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3.实施建议与开发指引：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拟定开发计划与时序，提出开发总量、相关指标建议及设计导则，为下阶段规划编制及具体开发建设提供依据与参考。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（二）建筑概念方案设计内容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以全面提升地区环境品质为目的，开展建筑形态深化与场地环境设计，结合具体项目情况，主要包括：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1.现状条件分析：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对土地权属信息进行调查，了解现状问题与发展诉求，盘点后续发展的优势资源，确定下步方向和要求。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2.用地功能组织：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明确地区更新目标与功能，确定土地使用类型。合理有效地组织场地室内外空间，结合自然山水、历史人文、公共设施等资源，进行场所营造与活力培育。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3.建筑形象设计：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 xml:space="preserve">确定建筑的高度、体量、形态及建筑群体的空间组合关系，并对建筑风格、立面材料及色彩等提出引导要求。对地块重要界面的建筑后退、底层建筑形式、功能和界面连续性进行设计。针对标志性建筑，提出概念性设计方案。 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4.交通空间设计：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优化地区道路系统与空间组织，合理组织车行及慢行系统，加强交通空间与街道空间的一体设计，确定步行通道、连廊及建筑接口相关要求，组织地块内机动车及非机动车停车布局。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5.环境景观设计：</w:t>
            </w:r>
            <w:r>
              <w:rPr>
                <w:rFonts w:hint="eastAsia" w:eastAsia="宋体" w:cs="宋体"/>
                <w:kern w:val="0"/>
                <w:sz w:val="24"/>
                <w:szCs w:val="24"/>
              </w:rPr>
              <w:t>提出开放空间的绿化种植、地面铺装、地标性景观构筑物、景观小品、城市家具、标识系统等环境景观设施的设计引导要求。</w:t>
            </w:r>
          </w:p>
          <w:p>
            <w:pPr>
              <w:spacing w:line="400" w:lineRule="exact"/>
              <w:ind w:firstLine="482" w:firstLineChars="200"/>
              <w:jc w:val="left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（三）成果构成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设计成果包括文本、图件和说明书。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四、陪伴式城市更新服务</w:t>
            </w:r>
          </w:p>
        </w:tc>
        <w:tc>
          <w:tcPr>
            <w:tcW w:w="12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由具有行业影响力且兼具学术水准和行政协调能力的领军人物领衔，组织多学科专业技术人员，集合各专业专家，形成专业城市更新技术服务团队。服务团队作为城市规划建设管理领域的首席智囊，为党委政府决策提供专业技术支撑，协助主管部门实现科学管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C441B"/>
    <w:rsid w:val="292316CD"/>
    <w:rsid w:val="409C441B"/>
    <w:rsid w:val="489E323F"/>
    <w:rsid w:val="491B6AA8"/>
    <w:rsid w:val="52BC0EB7"/>
    <w:rsid w:val="7B0D0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spacing w:before="100" w:beforeLines="100" w:after="120"/>
      <w:ind w:firstLine="0" w:firstLineChars="0"/>
      <w:outlineLvl w:val="0"/>
    </w:pPr>
    <w:rPr>
      <w:rFonts w:eastAsia="黑体"/>
      <w:b/>
      <w:bCs/>
      <w:kern w:val="44"/>
      <w:sz w:val="30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50" w:beforeLines="50"/>
      <w:ind w:firstLine="0" w:firstLineChars="0"/>
      <w:outlineLvl w:val="1"/>
    </w:pPr>
    <w:rPr>
      <w:rFonts w:ascii="Cambria" w:hAnsi="Cambria" w:eastAsia="黑体" w:cstheme="majorBidi"/>
      <w:b/>
      <w:bCs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5" w:beforeLines="25"/>
      <w:outlineLvl w:val="2"/>
    </w:pPr>
    <w:rPr>
      <w:b/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rFonts w:ascii="Times New Roman" w:eastAsia="宋体" w:cs="Times New Roman"/>
      <w:sz w:val="21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paragraph" w:customStyle="1" w:styleId="15">
    <w:name w:val="段"/>
    <w:basedOn w:val="1"/>
    <w:next w:val="1"/>
    <w:qFormat/>
    <w:uiPriority w:val="99"/>
    <w:pPr>
      <w:widowControl/>
      <w:autoSpaceDE w:val="0"/>
      <w:autoSpaceDN w:val="0"/>
      <w:ind w:firstLine="200" w:firstLineChars="200"/>
      <w:jc w:val="left"/>
    </w:pPr>
    <w:rPr>
      <w:rFonts w:ascii="宋体" w:hAnsi="宋体" w:eastAsia="仿宋_GB2312" w:cs="宋体"/>
      <w:kern w:val="0"/>
      <w:sz w:val="32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2025-05-23T01:17:00Z</dcterms:created>
  <dc:creator>Administrator</dc:creator>
  <cp:lastModifiedBy>Administrator</cp:lastModifiedBy>
  <cp:lastPrinted>2025-06-11T03:47:00Z</cp:lastPrinted>
  <dcterms:modified xsi:type="dcterms:W3CDTF">2025-06-13T01:54:30Z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