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43B5C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F5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关于三明市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乡镇级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国土空间总体规划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成果</w:t>
      </w:r>
    </w:p>
    <w:p w14:paraId="224A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费用报价的函</w:t>
      </w:r>
    </w:p>
    <w:bookmarkEnd w:id="0"/>
    <w:p w14:paraId="012A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DF6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三明市自然资源局：</w:t>
      </w:r>
    </w:p>
    <w:p w14:paraId="27A9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根据贵单位《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  <w:t>关于公开征询三明市乡镇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eastAsia="zh-CN"/>
        </w:rPr>
        <w:t>级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  <w:t>国土空间总体规划成果技术审查费用的公告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》的相关要求，我单位依据询价清单所列内容及自身实际情况提出该项目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单个乡镇规划成果技术审查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111个乡镇规划成果技术审查总报价为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76C4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此函。</w:t>
      </w:r>
    </w:p>
    <w:p w14:paraId="6114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761B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71D4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FA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ⅩⅩⅩⅩ（单位名称）</w:t>
      </w:r>
    </w:p>
    <w:p w14:paraId="015B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 日</w:t>
      </w:r>
    </w:p>
    <w:p w14:paraId="5A3B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65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49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FD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BA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FF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3D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8A10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询价清单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75"/>
        <w:gridCol w:w="3876"/>
        <w:gridCol w:w="1172"/>
        <w:gridCol w:w="1429"/>
      </w:tblGrid>
      <w:tr w14:paraId="6C16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06B2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报价单位（盖章）</w:t>
            </w: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7E8B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02D3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时间</w:t>
            </w: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75EF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429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7A17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70142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248E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FD3D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451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</w:trPr>
        <w:tc>
          <w:tcPr>
            <w:tcW w:w="2584" w:type="dxa"/>
            <w:gridSpan w:val="2"/>
            <w:shd w:val="clear" w:color="auto" w:fill="auto"/>
            <w:noWrap w:val="0"/>
            <w:vAlign w:val="center"/>
          </w:tcPr>
          <w:p w14:paraId="0A53444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公司简介</w:t>
            </w:r>
          </w:p>
        </w:tc>
        <w:tc>
          <w:tcPr>
            <w:tcW w:w="6477" w:type="dxa"/>
            <w:gridSpan w:val="3"/>
            <w:shd w:val="clear" w:color="auto" w:fill="auto"/>
            <w:noWrap w:val="0"/>
            <w:vAlign w:val="top"/>
          </w:tcPr>
          <w:p w14:paraId="3DD9D7F1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公司概况：</w:t>
            </w:r>
          </w:p>
          <w:p w14:paraId="35D70258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32F95034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220F879A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2DBE248F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7711335C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资质等级：</w:t>
            </w:r>
          </w:p>
          <w:p w14:paraId="1EFC9598">
            <w:pPr>
              <w:widowControl/>
              <w:spacing w:line="451" w:lineRule="auto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</w:pPr>
          </w:p>
          <w:p w14:paraId="35A5B591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完成或正开展类似项目列举：</w:t>
            </w:r>
          </w:p>
        </w:tc>
      </w:tr>
      <w:tr w14:paraId="134E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  <w:shd w:val="clear" w:color="auto" w:fill="auto"/>
            <w:noWrap w:val="0"/>
            <w:vAlign w:val="center"/>
          </w:tcPr>
          <w:p w14:paraId="0EE967FD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询价清单</w:t>
            </w:r>
          </w:p>
        </w:tc>
      </w:tr>
      <w:tr w14:paraId="5C90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6BE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2288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分项名称</w:t>
            </w:r>
          </w:p>
        </w:tc>
        <w:tc>
          <w:tcPr>
            <w:tcW w:w="3876" w:type="dxa"/>
            <w:shd w:val="clear" w:color="auto" w:fill="auto"/>
            <w:noWrap w:val="0"/>
            <w:vAlign w:val="center"/>
          </w:tcPr>
          <w:p w14:paraId="1C96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工作内容</w:t>
            </w:r>
          </w:p>
        </w:tc>
        <w:tc>
          <w:tcPr>
            <w:tcW w:w="1172" w:type="dxa"/>
            <w:shd w:val="clear" w:color="auto" w:fill="auto"/>
            <w:noWrap w:val="0"/>
            <w:vAlign w:val="center"/>
          </w:tcPr>
          <w:p w14:paraId="0003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提交成果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1F2B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报价</w:t>
            </w:r>
          </w:p>
          <w:p w14:paraId="1CB6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32"/>
                <w:szCs w:val="32"/>
              </w:rPr>
              <w:t>(万元)</w:t>
            </w:r>
          </w:p>
        </w:tc>
      </w:tr>
      <w:tr w14:paraId="617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78FB1B9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015FF3B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27FE109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47A438A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1A5F7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6F6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723181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6D4FFB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2458CBA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1A3D64B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EECA50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DF2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5D382F51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F53359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5112C9F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3EFA249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0CD23C2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977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0C85B4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41D862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658C3A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26E716E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4DAB9E3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1F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31B3F44A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68AA96C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BF73D0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43F084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448DAF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9DC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6CF09A47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65965BB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1D95C45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6AEC5DC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25ED002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930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2377CE87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2405C2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11A3FD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26ED06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6C6A059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45E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13662E15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268D8E9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33715CC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0B45C98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55200E4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87C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0D4D5DC1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5E2D791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19EDCFC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7F605E4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78D9762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8C1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shd w:val="clear" w:color="auto" w:fill="auto"/>
            <w:noWrap w:val="0"/>
            <w:vAlign w:val="center"/>
          </w:tcPr>
          <w:p w14:paraId="6CA5858A">
            <w:pPr>
              <w:widowControl/>
              <w:spacing w:line="451" w:lineRule="auto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675" w:type="dxa"/>
            <w:shd w:val="clear" w:color="auto" w:fill="auto"/>
            <w:noWrap w:val="0"/>
            <w:vAlign w:val="top"/>
          </w:tcPr>
          <w:p w14:paraId="0D3448A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876" w:type="dxa"/>
            <w:shd w:val="clear" w:color="auto" w:fill="auto"/>
            <w:noWrap w:val="0"/>
            <w:vAlign w:val="top"/>
          </w:tcPr>
          <w:p w14:paraId="4C47747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auto"/>
            <w:noWrap w:val="0"/>
            <w:vAlign w:val="top"/>
          </w:tcPr>
          <w:p w14:paraId="6A377AB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29" w:type="dxa"/>
            <w:shd w:val="clear" w:color="auto" w:fill="auto"/>
            <w:noWrap w:val="0"/>
            <w:vAlign w:val="top"/>
          </w:tcPr>
          <w:p w14:paraId="39950E5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5AB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2" w:type="dxa"/>
            <w:gridSpan w:val="4"/>
            <w:shd w:val="clear" w:color="auto" w:fill="auto"/>
            <w:noWrap w:val="0"/>
            <w:vAlign w:val="center"/>
          </w:tcPr>
          <w:p w14:paraId="6B93DB84">
            <w:pPr>
              <w:widowControl/>
              <w:spacing w:line="451" w:lineRule="auto"/>
              <w:ind w:firstLine="480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eastAsia="zh-CN"/>
              </w:rPr>
              <w:t>单个乡镇规划技术审查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  <w:t>计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7795ADFA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 w14:paraId="59DC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2" w:type="dxa"/>
            <w:gridSpan w:val="4"/>
            <w:shd w:val="clear" w:color="auto" w:fill="auto"/>
            <w:noWrap w:val="0"/>
            <w:vAlign w:val="center"/>
          </w:tcPr>
          <w:p w14:paraId="2F940CA8">
            <w:pPr>
              <w:widowControl/>
              <w:spacing w:line="451" w:lineRule="auto"/>
              <w:ind w:firstLine="480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  <w:lang w:val="en-US" w:eastAsia="zh-CN"/>
              </w:rPr>
              <w:t>111个乡镇规划技术审查  总计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236DA971">
            <w:pPr>
              <w:widowControl/>
              <w:spacing w:line="451" w:lineRule="auto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</w:p>
        </w:tc>
      </w:tr>
      <w:tr w14:paraId="3674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061" w:type="dxa"/>
            <w:gridSpan w:val="5"/>
            <w:shd w:val="clear" w:color="auto" w:fill="auto"/>
            <w:noWrap w:val="0"/>
            <w:vAlign w:val="center"/>
          </w:tcPr>
          <w:p w14:paraId="1BB6D6A3">
            <w:pPr>
              <w:widowControl/>
              <w:spacing w:line="40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备注：</w:t>
            </w:r>
          </w:p>
          <w:p w14:paraId="2FB565D9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1.报价人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根据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要求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结合自身情况细化分项名称、工作内容和费用，完善询价清单；</w:t>
            </w:r>
          </w:p>
          <w:p w14:paraId="30BA207A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8"/>
                <w:szCs w:val="28"/>
              </w:rPr>
              <w:t>2.清单中所列事项报价应包含为完成该项工作所必需的所有费用，含资料打印费、专家评审费、会议费、差旅费等。</w:t>
            </w:r>
          </w:p>
        </w:tc>
      </w:tr>
    </w:tbl>
    <w:p w14:paraId="631A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4BBC"/>
    <w:rsid w:val="3AC83A76"/>
    <w:rsid w:val="73EF81D0"/>
    <w:rsid w:val="AEEF60A5"/>
    <w:rsid w:val="F55F5EF4"/>
    <w:rsid w:val="FB7C06FB"/>
    <w:rsid w:val="FF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1"/>
    <w:next w:val="1"/>
    <w:qFormat/>
    <w:uiPriority w:val="0"/>
    <w:pPr>
      <w:ind w:firstLine="420" w:firstLineChars="100"/>
    </w:pPr>
    <w:rPr>
      <w:rFonts w:ascii="等线" w:hAnsi="等线" w:eastAsia="等线" w:cs="Times New Roman"/>
      <w:sz w:val="21"/>
      <w:szCs w:val="22"/>
    </w:rPr>
  </w:style>
  <w:style w:type="paragraph" w:styleId="5">
    <w:name w:val="Body Text First Indent 2"/>
    <w:basedOn w:val="2"/>
    <w:next w:val="4"/>
    <w:qFormat/>
    <w:uiPriority w:val="0"/>
    <w:pPr>
      <w:ind w:firstLine="420" w:firstLineChars="200"/>
    </w:pPr>
    <w:rPr>
      <w:rFonts w:ascii="等线" w:hAnsi="等线" w:eastAsia="等线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1640</Words>
  <Characters>1692</Characters>
  <Lines>0</Lines>
  <Paragraphs>0</Paragraphs>
  <TotalTime>8</TotalTime>
  <ScaleCrop>false</ScaleCrop>
  <LinksUpToDate>false</LinksUpToDate>
  <CharactersWithSpaces>1863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2025-06-17T16:20:00Z</dcterms:created>
  <dc:creator>Administrator</dc:creator>
  <cp:lastModifiedBy>刘腾讯</cp:lastModifiedBy>
  <dcterms:modified xsi:type="dcterms:W3CDTF">2025-06-20T09:11:20Z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eyJoZGlkIjoiOGY0ZDEyMzMxYzFkNjU2MzgwODg1ZDk2Y2Q3MjI3MjYiLCJ1c2VySWQiOiIyMDE2MTk0NjUifQ==</vt:lpwstr>
  </property>
  <property fmtid="{D5CDD505-2E9C-101B-9397-08002B2CF9AE}" pid="4" name="ICV">
    <vt:lpwstr>61E96713AEB0438C86EE098D0C1B11B6_13</vt:lpwstr>
  </property>
</Properties>
</file>