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line="600" w:lineRule="exact"/>
        <w:jc w:val="center"/>
        <w:rPr>
          <w:rFonts w:hint="eastAsia" w:ascii="方正小标宋_GBK" w:hAnsi="宋体" w:eastAsia="方正小标宋_GBK" w:cs="仿宋_GB2312"/>
          <w:kern w:val="0"/>
          <w:sz w:val="44"/>
          <w:szCs w:val="44"/>
        </w:rPr>
      </w:pPr>
      <w:r>
        <w:rPr>
          <w:rFonts w:hint="eastAsia" w:ascii="方正小标宋_GBK" w:hAnsi="宋体" w:eastAsia="方正小标宋_GBK" w:cs="仿宋_GB2312"/>
          <w:kern w:val="0"/>
          <w:sz w:val="44"/>
          <w:szCs w:val="44"/>
        </w:rPr>
        <w:t>2025年自然资源领域提升优化营商环境的</w:t>
      </w:r>
    </w:p>
    <w:p>
      <w:pPr>
        <w:widowControl w:val="0"/>
        <w:autoSpaceDE w:val="0"/>
        <w:autoSpaceDN w:val="0"/>
        <w:adjustRightInd w:val="0"/>
        <w:spacing w:line="600" w:lineRule="exact"/>
        <w:jc w:val="center"/>
        <w:rPr>
          <w:rFonts w:hint="eastAsia" w:ascii="方正小标宋_GBK" w:hAnsi="宋体" w:eastAsia="方正小标宋_GBK" w:cs="仿宋_GB2312"/>
          <w:kern w:val="0"/>
          <w:sz w:val="44"/>
          <w:szCs w:val="44"/>
          <w:lang w:eastAsia="zh-CN"/>
        </w:rPr>
      </w:pPr>
      <w:r>
        <w:rPr>
          <w:rFonts w:hint="eastAsia" w:ascii="方正小标宋_GBK" w:hAnsi="宋体" w:eastAsia="方正小标宋_GBK" w:cs="仿宋_GB2312"/>
          <w:kern w:val="0"/>
          <w:sz w:val="44"/>
          <w:szCs w:val="44"/>
        </w:rPr>
        <w:t>指导意见</w:t>
      </w:r>
      <w:r>
        <w:rPr>
          <w:rFonts w:hint="eastAsia" w:ascii="方正小标宋_GBK" w:hAnsi="宋体" w:eastAsia="方正小标宋_GBK" w:cs="仿宋_GB2312"/>
          <w:kern w:val="0"/>
          <w:sz w:val="44"/>
          <w:szCs w:val="44"/>
          <w:lang w:eastAsia="zh-CN"/>
        </w:rPr>
        <w:t>（征求意见稿）</w:t>
      </w:r>
    </w:p>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textAlignment w:val="auto"/>
        <w:rPr>
          <w:rFonts w:hint="eastAsia" w:ascii="宋体" w:hAnsi="宋体" w:eastAsia="仿宋_GB2312" w:cs="仿宋_GB2312"/>
          <w:kern w:val="0"/>
          <w:sz w:val="32"/>
          <w:szCs w:val="32"/>
        </w:rPr>
      </w:pPr>
    </w:p>
    <w:p>
      <w:pPr>
        <w:widowControl w:val="0"/>
        <w:autoSpaceDE w:val="0"/>
        <w:autoSpaceDN w:val="0"/>
        <w:adjustRightInd w:val="0"/>
        <w:ind w:firstLine="800" w:firstLineChars="25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为进一步深化拓展“深学争优、敢为争先、实干争效”行动和市委、市政府推动高质量发展工作要求，根据《</w:t>
      </w:r>
      <w:r>
        <w:rPr>
          <w:rFonts w:ascii="宋体" w:hAnsi="宋体" w:eastAsia="仿宋_GB2312" w:cs="仿宋_GB2312"/>
          <w:kern w:val="0"/>
          <w:sz w:val="32"/>
          <w:szCs w:val="32"/>
        </w:rPr>
        <w:t>2025</w:t>
      </w:r>
      <w:r>
        <w:rPr>
          <w:rFonts w:hint="eastAsia" w:ascii="宋体" w:hAnsi="宋体" w:eastAsia="仿宋_GB2312" w:cs="仿宋_GB2312"/>
          <w:kern w:val="0"/>
          <w:sz w:val="32"/>
          <w:szCs w:val="32"/>
        </w:rPr>
        <w:t>年三明市“四领一促”工作方案》部署，持续提升自然资源管理领域优化营商环境，结合工作实际，现提出以下意见。</w:t>
      </w:r>
    </w:p>
    <w:p>
      <w:pPr>
        <w:ind w:firstLine="640" w:firstLineChars="200"/>
        <w:jc w:val="both"/>
        <w:outlineLvl w:val="0"/>
        <w:rPr>
          <w:rFonts w:hint="eastAsia" w:ascii="宋体" w:hAnsi="宋体" w:eastAsia="黑体" w:cs="仿宋_GB2312"/>
          <w:kern w:val="0"/>
          <w:sz w:val="32"/>
          <w:szCs w:val="32"/>
        </w:rPr>
      </w:pPr>
      <w:r>
        <w:rPr>
          <w:rFonts w:hint="eastAsia" w:ascii="宋体" w:hAnsi="宋体" w:eastAsia="黑体" w:cs="仿宋_GB2312"/>
          <w:kern w:val="0"/>
          <w:sz w:val="32"/>
          <w:szCs w:val="32"/>
        </w:rPr>
        <w:t>一、工作目标</w:t>
      </w:r>
    </w:p>
    <w:p>
      <w:pPr>
        <w:ind w:firstLine="640" w:firstLineChars="200"/>
        <w:jc w:val="both"/>
        <w:rPr>
          <w:rFonts w:hint="eastAsia" w:ascii="宋体" w:hAnsi="宋体" w:eastAsia="仿宋_GB2312" w:cs="仿宋_GB2312"/>
          <w:kern w:val="0"/>
          <w:sz w:val="32"/>
          <w:szCs w:val="32"/>
        </w:rPr>
      </w:pPr>
      <w:r>
        <w:rPr>
          <w:rFonts w:hint="eastAsia" w:ascii="宋体" w:hAnsi="宋体" w:eastAsia="仿宋_GB2312" w:cs="仿宋_GB2312"/>
          <w:kern w:val="0"/>
          <w:sz w:val="32"/>
          <w:szCs w:val="32"/>
        </w:rPr>
        <w:t>深入落实习近平总书记关于优化营商工作的重要指示精神，大力弘扬“马上就办，真抓实干”优良传统，以企业群众办事更加便利、时间减少、成本更低、服务最好为导向，在自然资源管理领域重点领域和关键环节持续深化“放管服”改革，不断提高人民群众的满意度和获得感。</w:t>
      </w:r>
    </w:p>
    <w:p>
      <w:pPr>
        <w:ind w:firstLine="736" w:firstLineChars="230"/>
        <w:jc w:val="both"/>
        <w:outlineLvl w:val="0"/>
        <w:rPr>
          <w:rFonts w:hint="eastAsia" w:ascii="宋体" w:hAnsi="宋体" w:eastAsia="黑体" w:cs="仿宋_GB2312"/>
          <w:kern w:val="0"/>
          <w:sz w:val="32"/>
          <w:szCs w:val="32"/>
        </w:rPr>
      </w:pPr>
      <w:r>
        <w:rPr>
          <w:rFonts w:hint="eastAsia" w:ascii="宋体" w:hAnsi="宋体" w:eastAsia="黑体" w:cs="仿宋_GB2312"/>
          <w:kern w:val="0"/>
          <w:sz w:val="32"/>
          <w:szCs w:val="32"/>
        </w:rPr>
        <w:t>二、具体措施</w:t>
      </w:r>
    </w:p>
    <w:p>
      <w:pPr>
        <w:ind w:firstLine="739" w:firstLineChars="230"/>
        <w:jc w:val="both"/>
        <w:rPr>
          <w:rFonts w:hint="eastAsia" w:ascii="宋体" w:hAnsi="宋体" w:eastAsia="仿宋_GB2312" w:cs="仿宋_GB2312"/>
          <w:kern w:val="0"/>
          <w:sz w:val="32"/>
          <w:szCs w:val="32"/>
        </w:rPr>
      </w:pPr>
      <w:r>
        <w:rPr>
          <w:rFonts w:hint="eastAsia" w:ascii="宋体" w:hAnsi="宋体" w:eastAsia="楷体_GB2312"/>
          <w:b/>
          <w:sz w:val="32"/>
          <w:szCs w:val="32"/>
        </w:rPr>
        <w:t>（一）持续做好要素保障。</w:t>
      </w:r>
      <w:r>
        <w:rPr>
          <w:rFonts w:hint="eastAsia" w:ascii="宋体" w:hAnsi="宋体" w:eastAsia="仿宋_GB2312" w:cs="仿宋_GB2312"/>
          <w:kern w:val="0"/>
          <w:sz w:val="32"/>
          <w:szCs w:val="32"/>
        </w:rPr>
        <w:t>主动与各行业主管部门对接，在建设项目谋划选址阶段提前介入，指导业主单位优化选址，提高建设项目选址的科学性和可行性。按照挂图作战工作要求，倒排项目用地报批计划，明确部门职责分工，指定专人负责，加快推动项目用地审批。</w:t>
      </w:r>
    </w:p>
    <w:p>
      <w:pPr>
        <w:widowControl w:val="0"/>
        <w:ind w:firstLine="739" w:firstLineChars="230"/>
        <w:jc w:val="both"/>
        <w:rPr>
          <w:rFonts w:hint="eastAsia" w:ascii="宋体" w:hAnsi="宋体" w:eastAsia="仿宋_GB2312" w:cs="仿宋_GB2312"/>
          <w:kern w:val="0"/>
          <w:sz w:val="32"/>
          <w:szCs w:val="32"/>
        </w:rPr>
      </w:pPr>
      <w:r>
        <w:rPr>
          <w:rFonts w:hint="eastAsia" w:ascii="宋体" w:hAnsi="宋体" w:eastAsia="楷体_GB2312"/>
          <w:b/>
          <w:sz w:val="32"/>
          <w:szCs w:val="32"/>
        </w:rPr>
        <w:t>（二）推动工业用地“标准地”出让。</w:t>
      </w:r>
      <w:r>
        <w:rPr>
          <w:rFonts w:hint="eastAsia" w:ascii="宋体" w:hAnsi="宋体" w:eastAsia="仿宋_GB2312" w:cs="仿宋_GB2312"/>
          <w:kern w:val="0"/>
          <w:sz w:val="32"/>
          <w:szCs w:val="32"/>
        </w:rPr>
        <w:t>完善园区开展区域评估的类型和数量，减少企业重复投入。严格“净地”出让，推广委托代办、交地交证、交地开工等服务类型。对有特殊工艺要求降低容积率标准的工业项目，在供地前落实节地评价，作为土</w:t>
      </w:r>
      <w:bookmarkStart w:id="0" w:name="_GoBack"/>
      <w:bookmarkEnd w:id="0"/>
      <w:r>
        <w:rPr>
          <w:rFonts w:hint="eastAsia" w:ascii="宋体" w:hAnsi="宋体" w:eastAsia="仿宋_GB2312" w:cs="仿宋_GB2312"/>
          <w:kern w:val="0"/>
          <w:sz w:val="32"/>
          <w:szCs w:val="32"/>
        </w:rPr>
        <w:t>地供应依据。</w:t>
      </w:r>
    </w:p>
    <w:p>
      <w:pPr>
        <w:widowControl w:val="0"/>
        <w:ind w:firstLine="739" w:firstLineChars="230"/>
        <w:jc w:val="both"/>
        <w:rPr>
          <w:rFonts w:hint="eastAsia" w:ascii="宋体" w:hAnsi="宋体" w:eastAsia="仿宋_GB2312" w:cs="仿宋_GB2312"/>
          <w:kern w:val="0"/>
          <w:sz w:val="32"/>
          <w:szCs w:val="32"/>
        </w:rPr>
      </w:pPr>
      <w:r>
        <w:rPr>
          <w:rFonts w:hint="eastAsia" w:ascii="宋体" w:hAnsi="宋体" w:eastAsia="楷体_GB2312"/>
          <w:b/>
          <w:sz w:val="32"/>
          <w:szCs w:val="32"/>
        </w:rPr>
        <w:t>（三）提升行政服务水平。</w:t>
      </w:r>
      <w:r>
        <w:rPr>
          <w:rFonts w:hint="eastAsia" w:ascii="宋体" w:hAnsi="宋体" w:eastAsia="仿宋_GB2312" w:cs="仿宋_GB2312"/>
          <w:kern w:val="0"/>
          <w:sz w:val="32"/>
          <w:szCs w:val="32"/>
        </w:rPr>
        <w:t>树立“人人都是营商环境”的服务理念，持续推行延时服务、上门服务、预约服务、周末无休、承诺告知等政务服务措施，开辟“绿色通道”，优化受理窗口，根据当天申请办件量设置应急窗口，减少群众等待时长，提升窗口服务水平和质量。</w:t>
      </w:r>
    </w:p>
    <w:p>
      <w:pPr>
        <w:widowControl w:val="0"/>
        <w:ind w:firstLine="739" w:firstLineChars="230"/>
        <w:jc w:val="both"/>
        <w:rPr>
          <w:rFonts w:hint="eastAsia" w:ascii="宋体" w:hAnsi="宋体" w:eastAsia="仿宋_GB2312" w:cs="仿宋_GB2312"/>
          <w:kern w:val="0"/>
          <w:sz w:val="32"/>
          <w:szCs w:val="32"/>
        </w:rPr>
      </w:pPr>
      <w:r>
        <w:rPr>
          <w:rFonts w:hint="eastAsia" w:ascii="宋体" w:hAnsi="宋体" w:eastAsia="楷体_GB2312"/>
          <w:b/>
          <w:sz w:val="32"/>
          <w:szCs w:val="32"/>
        </w:rPr>
        <w:t>（四）提升获得经营场所审批与登记效率。</w:t>
      </w:r>
      <w:r>
        <w:rPr>
          <w:rFonts w:hint="eastAsia" w:ascii="宋体" w:hAnsi="宋体" w:eastAsia="仿宋_GB2312" w:cs="仿宋_GB2312"/>
          <w:kern w:val="0"/>
          <w:sz w:val="32"/>
          <w:szCs w:val="32"/>
        </w:rPr>
        <w:t>加强办理人员业务培训，严格落实窗口无否决权、一次性告知等服务机制，重大工程审批要提供专人服务、全程帮办、容缺受理、“服务包”机制等服务保障,工业类项目建设工程规划许可证办理全面推行告知承诺制方式，切实提升审批服务质效；优化不动产登记服务流程，一般不动产转移登记3个工作日内办结，其中涉企转移登记办理</w:t>
      </w:r>
      <w:r>
        <w:rPr>
          <w:rFonts w:ascii="宋体" w:hAnsi="宋体" w:eastAsia="仿宋_GB2312" w:cs="仿宋_GB2312"/>
          <w:kern w:val="0"/>
          <w:sz w:val="32"/>
          <w:szCs w:val="32"/>
        </w:rPr>
        <w:t>2个</w:t>
      </w:r>
      <w:r>
        <w:rPr>
          <w:rFonts w:hint="eastAsia" w:ascii="宋体" w:hAnsi="宋体" w:eastAsia="仿宋_GB2312" w:cs="仿宋_GB2312"/>
          <w:kern w:val="0"/>
          <w:sz w:val="32"/>
          <w:szCs w:val="32"/>
        </w:rPr>
        <w:t>工作日内办结。</w:t>
      </w:r>
    </w:p>
    <w:p>
      <w:pPr>
        <w:widowControl w:val="0"/>
        <w:ind w:firstLine="739" w:firstLineChars="230"/>
        <w:jc w:val="both"/>
        <w:rPr>
          <w:rFonts w:hint="eastAsia" w:ascii="宋体" w:hAnsi="宋体" w:eastAsia="仿宋_GB2312" w:cs="仿宋_GB2312"/>
          <w:kern w:val="0"/>
          <w:sz w:val="32"/>
          <w:szCs w:val="32"/>
        </w:rPr>
      </w:pPr>
      <w:r>
        <w:rPr>
          <w:rFonts w:hint="eastAsia" w:ascii="宋体" w:hAnsi="宋体" w:eastAsia="楷体_GB2312"/>
          <w:b/>
          <w:sz w:val="32"/>
          <w:szCs w:val="32"/>
        </w:rPr>
        <w:t>（五）落实“无证明省份”建设。</w:t>
      </w:r>
      <w:r>
        <w:rPr>
          <w:rFonts w:hint="eastAsia" w:ascii="宋体" w:hAnsi="宋体" w:eastAsia="仿宋_GB2312" w:cs="仿宋_GB2312"/>
          <w:kern w:val="0"/>
          <w:sz w:val="32"/>
          <w:szCs w:val="32"/>
        </w:rPr>
        <w:t>落实全面规范生成规划审批、不动产登记、查房证明电子化，对未及时生成或作废的电子证照（证明），要在2个工作日内处理</w:t>
      </w:r>
      <w:r>
        <w:rPr>
          <w:rFonts w:hint="eastAsia" w:ascii="宋体" w:hAnsi="宋体" w:eastAsia="仿宋_GB2312"/>
          <w:sz w:val="32"/>
          <w:szCs w:val="32"/>
        </w:rPr>
        <w:t>规范调用电子证照</w:t>
      </w:r>
      <w:r>
        <w:rPr>
          <w:rFonts w:hint="eastAsia" w:ascii="宋体" w:hAnsi="宋体" w:eastAsia="仿宋_GB2312" w:cs="仿宋_GB2312"/>
          <w:kern w:val="0"/>
          <w:sz w:val="32"/>
          <w:szCs w:val="32"/>
        </w:rPr>
        <w:t>（证明）</w:t>
      </w:r>
      <w:r>
        <w:rPr>
          <w:rFonts w:hint="eastAsia" w:ascii="宋体" w:hAnsi="宋体" w:eastAsia="仿宋_GB2312"/>
          <w:sz w:val="32"/>
          <w:szCs w:val="32"/>
        </w:rPr>
        <w:t>；对照五级十五同、办事免提交证照和工程建设项目审批可信电子文件编目等清单所列证照（证明），在办理过程中做到应调尽调，确实无法调用或调用不到的，及时做好缺失登记；</w:t>
      </w:r>
      <w:r>
        <w:rPr>
          <w:rFonts w:hint="eastAsia" w:ascii="宋体" w:hAnsi="宋体" w:eastAsia="仿宋_GB2312" w:cs="仿宋_GB2312"/>
          <w:kern w:val="0"/>
          <w:sz w:val="32"/>
          <w:szCs w:val="32"/>
        </w:rPr>
        <w:t>落实“数据最多采一次”工作，跟踪推送失败业务，并及时排查原因，做好信息补缺补漏。</w:t>
      </w:r>
    </w:p>
    <w:p>
      <w:pPr>
        <w:widowControl w:val="0"/>
        <w:ind w:firstLine="739" w:firstLineChars="230"/>
        <w:jc w:val="both"/>
        <w:rPr>
          <w:rFonts w:hint="eastAsia" w:ascii="宋体" w:hAnsi="宋体" w:eastAsia="仿宋_GB2312" w:cs="仿宋_GB2312"/>
          <w:kern w:val="0"/>
          <w:sz w:val="32"/>
          <w:szCs w:val="32"/>
        </w:rPr>
      </w:pPr>
      <w:r>
        <w:rPr>
          <w:rFonts w:hint="eastAsia" w:ascii="宋体" w:hAnsi="宋体" w:eastAsia="楷体_GB2312"/>
          <w:b/>
          <w:sz w:val="32"/>
          <w:szCs w:val="32"/>
        </w:rPr>
        <w:t>（六）推动政务服务全程网办。</w:t>
      </w:r>
      <w:r>
        <w:rPr>
          <w:rFonts w:hint="eastAsia" w:ascii="宋体" w:hAnsi="宋体" w:eastAsia="仿宋_GB2312"/>
          <w:sz w:val="32"/>
          <w:szCs w:val="32"/>
        </w:rPr>
        <w:t>全面推行</w:t>
      </w:r>
      <w:r>
        <w:rPr>
          <w:rFonts w:hint="eastAsia" w:ascii="宋体" w:hAnsi="宋体" w:eastAsia="仿宋_GB2312" w:cs="仿宋_GB2312"/>
          <w:kern w:val="0"/>
          <w:sz w:val="32"/>
          <w:szCs w:val="32"/>
        </w:rPr>
        <w:t>用地预审与</w:t>
      </w:r>
      <w:r>
        <w:rPr>
          <w:rFonts w:hint="eastAsia" w:ascii="宋体" w:hAnsi="宋体" w:eastAsia="仿宋_GB2312"/>
          <w:sz w:val="32"/>
          <w:szCs w:val="32"/>
        </w:rPr>
        <w:t>选址意见书、用地规划许可证、建设工程规划许可证、竣工规划条件核实与土地核验以及</w:t>
      </w:r>
      <w:r>
        <w:rPr>
          <w:rFonts w:hint="eastAsia" w:ascii="宋体" w:hAnsi="宋体" w:eastAsia="仿宋_GB2312" w:cs="仿宋_GB2312"/>
          <w:kern w:val="0"/>
          <w:sz w:val="32"/>
          <w:szCs w:val="32"/>
        </w:rPr>
        <w:t>不</w:t>
      </w:r>
      <w:r>
        <w:rPr>
          <w:rFonts w:hint="eastAsia" w:ascii="宋体" w:hAnsi="宋体" w:eastAsia="仿宋_GB2312"/>
          <w:sz w:val="32"/>
          <w:szCs w:val="32"/>
        </w:rPr>
        <w:t>动产登记网上申办。依托省级“总对总”服务平台，常态化</w:t>
      </w:r>
      <w:r>
        <w:rPr>
          <w:rFonts w:hint="eastAsia" w:ascii="宋体" w:hAnsi="宋体" w:eastAsia="仿宋_GB2312" w:cs="仿宋_GB2312"/>
          <w:kern w:val="0"/>
          <w:sz w:val="32"/>
          <w:szCs w:val="32"/>
        </w:rPr>
        <w:t>开展线上二手房转移登记“一件事”业务办理，提高线上二手房转移登记“一件事”业务办理量，提升“税费同缴”办理率。</w:t>
      </w:r>
    </w:p>
    <w:p>
      <w:pPr>
        <w:widowControl w:val="0"/>
        <w:ind w:firstLine="739" w:firstLineChars="230"/>
        <w:jc w:val="both"/>
        <w:rPr>
          <w:rFonts w:hint="eastAsia" w:ascii="宋体" w:hAnsi="宋体" w:eastAsia="仿宋_GB2312"/>
          <w:sz w:val="32"/>
          <w:szCs w:val="32"/>
        </w:rPr>
      </w:pPr>
      <w:r>
        <w:rPr>
          <w:rFonts w:hint="eastAsia" w:ascii="宋体" w:hAnsi="宋体" w:eastAsia="楷体_GB2312"/>
          <w:b/>
          <w:sz w:val="32"/>
          <w:szCs w:val="32"/>
        </w:rPr>
        <w:t>（七）全面推行“多测合一”、“验登合一”。</w:t>
      </w:r>
      <w:r>
        <w:rPr>
          <w:rFonts w:hint="eastAsia" w:ascii="宋体" w:hAnsi="宋体" w:eastAsia="仿宋_GB2312"/>
          <w:sz w:val="32"/>
          <w:szCs w:val="32"/>
        </w:rPr>
        <w:t>由竣工核验和不动产登记阶段拓展至工程建设项目全流程，将工程建设项目的测绘服务整合为三个测绘事项,实现同一标的物只测一次、同一测绘成果只提交一次服务模式</w:t>
      </w:r>
      <w:r>
        <w:rPr>
          <w:rFonts w:hint="eastAsia" w:ascii="仿宋_GB2312" w:eastAsia="仿宋_GB2312"/>
          <w:sz w:val="32"/>
          <w:szCs w:val="32"/>
        </w:rPr>
        <w:t>。测绘成果执行统一的成果报告样式、测绘基准和技术规程,做到标准规范统一。</w:t>
      </w:r>
      <w:r>
        <w:rPr>
          <w:rFonts w:hint="eastAsia" w:ascii="宋体" w:hAnsi="宋体" w:eastAsia="仿宋_GB2312"/>
          <w:sz w:val="32"/>
          <w:szCs w:val="32"/>
        </w:rPr>
        <w:t>针对社会投资工业项目，根据建设单位意愿，工程建设项目联合验收与不动产首次登记全程联办，实现建设项目“验收即拿证”。</w:t>
      </w:r>
    </w:p>
    <w:p>
      <w:pPr>
        <w:widowControl w:val="0"/>
        <w:ind w:firstLine="739" w:firstLineChars="230"/>
        <w:jc w:val="both"/>
        <w:rPr>
          <w:rFonts w:hint="eastAsia" w:ascii="宋体" w:hAnsi="宋体" w:eastAsia="仿宋_GB2312" w:cs="仿宋_GB2312"/>
          <w:kern w:val="0"/>
          <w:sz w:val="32"/>
          <w:szCs w:val="32"/>
        </w:rPr>
      </w:pPr>
      <w:r>
        <w:rPr>
          <w:rFonts w:hint="eastAsia" w:ascii="宋体" w:hAnsi="宋体" w:eastAsia="楷体_GB2312"/>
          <w:b/>
          <w:sz w:val="32"/>
          <w:szCs w:val="32"/>
        </w:rPr>
        <w:t>（八）提升市场主体满意度。</w:t>
      </w:r>
      <w:r>
        <w:rPr>
          <w:rFonts w:hint="eastAsia" w:ascii="宋体" w:hAnsi="宋体" w:eastAsia="仿宋_GB2312" w:cs="仿宋_GB2312"/>
          <w:kern w:val="0"/>
          <w:sz w:val="32"/>
          <w:szCs w:val="32"/>
        </w:rPr>
        <w:t>持续开展“千人进千企”活动，常态化走访联系企业，在用地要素保障、规划审批、不动产登记等方面加强政策宣传，提升办件效率，落实市场主体满意度回访制度，办件完成后15日内进行回访，积极听取企业意见建议，推动解决企业诉求。</w:t>
      </w:r>
    </w:p>
    <w:p>
      <w:pPr>
        <w:widowControl w:val="0"/>
        <w:ind w:firstLine="739" w:firstLineChars="230"/>
        <w:jc w:val="both"/>
        <w:rPr>
          <w:rFonts w:hint="eastAsia" w:ascii="宋体" w:hAnsi="宋体" w:eastAsia="仿宋_GB2312"/>
          <w:sz w:val="32"/>
          <w:szCs w:val="32"/>
        </w:rPr>
      </w:pPr>
      <w:r>
        <w:rPr>
          <w:rFonts w:hint="eastAsia" w:ascii="宋体" w:hAnsi="宋体" w:eastAsia="楷体_GB2312"/>
          <w:b/>
          <w:sz w:val="32"/>
          <w:szCs w:val="32"/>
        </w:rPr>
        <w:t>（九）落实便民惠企政策。</w:t>
      </w:r>
      <w:r>
        <w:rPr>
          <w:rFonts w:hint="eastAsia" w:ascii="宋体" w:hAnsi="宋体" w:eastAsia="仿宋_GB2312"/>
          <w:sz w:val="32"/>
          <w:szCs w:val="32"/>
        </w:rPr>
        <w:t>在登记场所醒目位置公示收费项目及内容、收费标准、收费依据及监督电话。符合《工业和信息化部 国家统计局 国家发展和改革委员会 财政部关于印发中小企业划型标准规定通知》（工信部联企业〔2011〕300号）标准的小微企业，提交小微企业免缴不动产登记费承诺书，即免收不动产登记费，不得要求另行提供属于小微企业的证明材料；个体工商户凭营业执照直接免收不动产登记费，无需承诺。不断增强市场主体获得感和幸福感。</w:t>
      </w:r>
    </w:p>
    <w:p>
      <w:pPr>
        <w:widowControl w:val="0"/>
        <w:ind w:firstLine="640" w:firstLineChars="200"/>
        <w:jc w:val="both"/>
        <w:rPr>
          <w:rFonts w:hint="eastAsia" w:ascii="宋体" w:hAnsi="宋体" w:eastAsia="黑体" w:cs="仿宋_GB2312"/>
          <w:kern w:val="0"/>
          <w:sz w:val="32"/>
          <w:szCs w:val="32"/>
        </w:rPr>
      </w:pPr>
      <w:r>
        <w:rPr>
          <w:rFonts w:hint="eastAsia" w:ascii="宋体" w:hAnsi="宋体" w:eastAsia="黑体" w:cs="仿宋_GB2312"/>
          <w:kern w:val="0"/>
          <w:sz w:val="32"/>
          <w:szCs w:val="32"/>
        </w:rPr>
        <w:t>三、工作要求</w:t>
      </w:r>
    </w:p>
    <w:p>
      <w:pPr>
        <w:ind w:firstLine="643" w:firstLineChars="200"/>
        <w:jc w:val="both"/>
        <w:rPr>
          <w:rFonts w:hint="eastAsia" w:ascii="宋体" w:hAnsi="宋体" w:eastAsia="仿宋_GB2312"/>
          <w:sz w:val="32"/>
          <w:szCs w:val="32"/>
        </w:rPr>
      </w:pPr>
      <w:r>
        <w:rPr>
          <w:rFonts w:hint="eastAsia" w:ascii="宋体" w:hAnsi="宋体" w:eastAsia="楷体_GB2312" w:cs="仿宋_GB2312"/>
          <w:b/>
          <w:sz w:val="32"/>
          <w:szCs w:val="32"/>
        </w:rPr>
        <w:t>（一）加强组织领导。</w:t>
      </w:r>
      <w:r>
        <w:rPr>
          <w:rFonts w:hint="eastAsia" w:ascii="宋体" w:hAnsi="宋体" w:eastAsia="仿宋_GB2312"/>
          <w:sz w:val="32"/>
          <w:szCs w:val="32"/>
        </w:rPr>
        <w:t>各自然资源部门要将优化营商服务水平作为一项十分重要的工作来抓，市、县自然资源部门主要领导为第一责任人，指定一名熟悉营商环境工作人员具体抓落实，紧盯优化营商环境考评工作，每周关注各项指标落实情况，对相关指标落后或存在问题的应专题研究解决。</w:t>
      </w:r>
    </w:p>
    <w:p>
      <w:pPr>
        <w:ind w:firstLine="643" w:firstLineChars="200"/>
        <w:jc w:val="both"/>
        <w:rPr>
          <w:rFonts w:hint="eastAsia" w:ascii="宋体" w:hAnsi="宋体" w:eastAsia="仿宋_GB2312"/>
          <w:sz w:val="32"/>
          <w:szCs w:val="32"/>
        </w:rPr>
      </w:pPr>
      <w:r>
        <w:rPr>
          <w:rFonts w:hint="eastAsia" w:ascii="宋体" w:hAnsi="宋体" w:eastAsia="楷体_GB2312" w:cs="仿宋_GB2312"/>
          <w:b/>
          <w:sz w:val="32"/>
          <w:szCs w:val="32"/>
        </w:rPr>
        <w:t>（二）加强信息化管理。</w:t>
      </w:r>
      <w:r>
        <w:rPr>
          <w:rFonts w:hint="eastAsia" w:ascii="宋体" w:hAnsi="宋体" w:eastAsia="仿宋_GB2312"/>
          <w:sz w:val="32"/>
          <w:szCs w:val="32"/>
        </w:rPr>
        <w:t>“无证明省份”“数据最多采一次”“高效办成一件事”等工作是自然资源信息化管理重要一环，各自然资源部门要注重信息化人员培养，理顺省、市、县相关信息系统的关联关系，熟悉信息数据推送逻辑，定期开展数据规范性、准确性、完整性检查，提升数据质量。</w:t>
      </w:r>
    </w:p>
    <w:p>
      <w:pPr>
        <w:ind w:firstLine="643" w:firstLineChars="200"/>
        <w:jc w:val="both"/>
        <w:rPr>
          <w:rFonts w:hint="eastAsia" w:ascii="宋体" w:hAnsi="宋体" w:eastAsia="仿宋_GB2312"/>
          <w:sz w:val="32"/>
          <w:szCs w:val="32"/>
        </w:rPr>
      </w:pPr>
      <w:r>
        <w:rPr>
          <w:rFonts w:hint="eastAsia" w:ascii="宋体" w:hAnsi="宋体" w:eastAsia="楷体_GB2312" w:cs="仿宋_GB2312"/>
          <w:b/>
          <w:sz w:val="32"/>
          <w:szCs w:val="32"/>
        </w:rPr>
        <w:t>（三）加强典型经验推广。</w:t>
      </w:r>
      <w:r>
        <w:rPr>
          <w:rFonts w:hint="eastAsia" w:ascii="宋体" w:hAnsi="宋体" w:eastAsia="仿宋_GB2312"/>
          <w:sz w:val="32"/>
          <w:szCs w:val="32"/>
        </w:rPr>
        <w:t>梳理用地审批、土地供应、</w:t>
      </w:r>
      <w:r>
        <w:rPr>
          <w:rFonts w:hint="eastAsia" w:ascii="宋体" w:hAnsi="宋体" w:eastAsia="仿宋_GB2312" w:cs="仿宋_GB2312"/>
          <w:sz w:val="32"/>
          <w:szCs w:val="32"/>
        </w:rPr>
        <w:t>规划审批、</w:t>
      </w:r>
      <w:r>
        <w:rPr>
          <w:rFonts w:hint="eastAsia" w:ascii="宋体" w:hAnsi="宋体" w:eastAsia="仿宋_GB2312"/>
          <w:sz w:val="32"/>
          <w:szCs w:val="32"/>
        </w:rPr>
        <w:t>不动产登记等各办事流程难点、堵点，坚持改革创新，破解难题，提出有针对性的优化营商环境举措，总结可复制、可推广、可借鉴的典型做法，积极宣传推广，形成良好示范效应。</w:t>
      </w:r>
    </w:p>
    <w:p/>
    <w:p/>
    <w:sectPr>
      <w:footerReference r:id="rId5" w:type="default"/>
      <w:pgSz w:w="11906" w:h="16838"/>
      <w:pgMar w:top="1588" w:right="1474" w:bottom="1588" w:left="1588"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yYTVhMGFkN2MyNjcwM2RmYWM2MTcyNDFjNmQyNGEifQ=="/>
  </w:docVars>
  <w:rsids>
    <w:rsidRoot w:val="1FB24BCB"/>
    <w:rsid w:val="1FB24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2025-07-08T09:46:00Z</dcterms:created>
  <dc:creator>三明市自然资源局</dc:creator>
  <cp:lastModifiedBy>三明市自然资源局</cp:lastModifiedBy>
  <dcterms:modified xsi:type="dcterms:W3CDTF">2025-07-08T09:47:32Z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E244025E6CA14009BCF5866E1479E77E</vt:lpwstr>
  </property>
</Properties>
</file>