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关于公开征询福建省三明市地磅综合监管系统</w:t>
      </w:r>
    </w:p>
    <w:p>
      <w:pPr>
        <w:pStyle w:val="2"/>
        <w:widowControl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服务项目费用的公告</w:t>
      </w:r>
    </w:p>
    <w:p>
      <w:pPr>
        <w:spacing w:line="500" w:lineRule="exact"/>
      </w:pPr>
    </w:p>
    <w:p>
      <w:pPr>
        <w:pStyle w:val="6"/>
        <w:widowControl/>
        <w:spacing w:beforeAutospacing="0" w:afterAutospacing="0" w:line="500" w:lineRule="exact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各技术服务单位：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为开展福建省三明市地磅综合监管系统服务项目，我局将于近期启动该项目的政府采购工作，为编制该项目预算控制价，现向具有相应资质和专业技术能力的单位公开询价。</w:t>
      </w:r>
    </w:p>
    <w:p>
      <w:pPr>
        <w:pStyle w:val="6"/>
        <w:widowControl/>
        <w:spacing w:beforeAutospacing="0" w:afterAutospacing="0" w:line="500" w:lineRule="exact"/>
        <w:ind w:firstLine="720" w:firstLineChars="200"/>
        <w:jc w:val="both"/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一、项目基本情况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项目名称：福建省三明市地磅综合监管系统服务项目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建设规模：建设三明全市104家企业131±5（以实际数量为准）个地</w:t>
      </w: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>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的数据采集汇聚以及加工，在原有平台上开发智慧监管指挥中心大屏、车辆过磅行为监管、风险预警、政企互动服务、多源数据融合等功能，完成部署调试以及安全测评服务，提供3年运维服务。</w:t>
      </w:r>
    </w:p>
    <w:p>
      <w:pPr>
        <w:pStyle w:val="6"/>
        <w:widowControl/>
        <w:spacing w:beforeAutospacing="0" w:afterAutospacing="0" w:line="500" w:lineRule="exact"/>
        <w:ind w:firstLine="720" w:firstLineChars="200"/>
        <w:jc w:val="both"/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二、主要工作内容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主要包括建设131套地磅管理系统（含资源服务器、地磅综合监管系统软件开发、地磅数据采集分析），150套采矿点监控系统（含采矿点监控、运矿车辆监控、设备运行维护、采集数据上传），1套4G网络建设及等保测评服务（含4G网络传输服务、云安全软件、3年等保测评），以及设备安装调试服务。</w:t>
      </w:r>
    </w:p>
    <w:p>
      <w:pPr>
        <w:pStyle w:val="6"/>
        <w:widowControl/>
        <w:spacing w:beforeAutospacing="0" w:afterAutospacing="0" w:line="50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（一）方案设计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综合考虑地磅数据采集、车辆过磅行为数据采集，车辆监控、风险预警、政企互动及采矿业的发展趋势和现场实施条件等，合理布设设备安装位置，并保证收集数据及时，设计方案应细化多源数据融合分析方案。</w:t>
      </w:r>
    </w:p>
    <w:p>
      <w:pPr>
        <w:pStyle w:val="6"/>
        <w:widowControl/>
        <w:spacing w:beforeAutospacing="0" w:afterAutospacing="0" w:line="50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（二）设备购置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全过程选用地磅监控平台、边缘计算机、物联网数据采集器、硬盘录像机、网络摄像机、交换机、网络传输设备、4G网络服务、云安全、等保咨询测评服务，满足三明市地磅综合监管系统服务项目要求及《网络安全等级保护2.0》要求。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前端采集设备应具备双向通信和远程调试功能，可根据实际环境情况调整数据采集频率，同时具备防水、防尘及耐高温等基本性能。支持无网络环境下数据采集。</w:t>
      </w:r>
    </w:p>
    <w:p>
      <w:pPr>
        <w:pStyle w:val="6"/>
        <w:widowControl/>
        <w:spacing w:beforeAutospacing="0" w:afterAutospacing="0" w:line="50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（三）安装及调试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设备应依照地磅监管系统设计方案安装在指定位置，各类设备安装及调试应满足三明市地磅综合监管系统服务项目要求，确保数据传输正常，并要求设备在线率不得低于95%。</w:t>
      </w:r>
    </w:p>
    <w:p>
      <w:pPr>
        <w:pStyle w:val="6"/>
        <w:widowControl/>
        <w:spacing w:beforeAutospacing="0" w:afterAutospacing="0" w:line="50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（四）运行维护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定期巡检，及时发现问题并进行维护，如设备发生故障后，应在3天内维护完成，使其正常运行传输。设备质保期不低于3年，后期运行维护自设备安装及调试成功后不少于3年。</w:t>
      </w:r>
    </w:p>
    <w:p>
      <w:pPr>
        <w:pStyle w:val="6"/>
        <w:widowControl/>
        <w:spacing w:beforeAutospacing="0" w:afterAutospacing="0" w:line="50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（五）地磅监管数据通信及数据库建设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1.按照三明市地磅综合监管系统服务项目要求，设备安装调试完成后，应与三明市环境保护局、三明市市场监督管理局、三明市自然资源局、三明市税务局及各矿企互联互通和动态更新，实现矿企和各监管单位实时联动，为地磅监管工作提供全流程的数据服务支撑。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2.数据库建设应满足三明市地磅综合监管系统服务项目要求，地磅监管系统数据库应包含基础数据、监控数据、预警业务数据、监控业务数据等。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3.数据库建设应满足三明市地磅综合监管系统服务项目要求，平台数据支持福建省级以上矿产品交易价格数据展示及分析，交易价格从第三方交易平台获取。</w:t>
      </w:r>
    </w:p>
    <w:p>
      <w:pPr>
        <w:pStyle w:val="6"/>
        <w:widowControl/>
        <w:spacing w:beforeAutospacing="0" w:afterAutospacing="0" w:line="500" w:lineRule="exact"/>
        <w:ind w:firstLine="720" w:firstLineChars="200"/>
        <w:jc w:val="both"/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三、报价供应商的资格要求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1.须具备《中华人民共和国政府采购法》第二十二条第一款第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项至第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项规定的条件；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2.资质要求：增值电信业务经营许可证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pacing w:beforeAutospacing="0" w:afterAutospacing="0" w:line="500" w:lineRule="exact"/>
        <w:ind w:firstLine="720" w:firstLineChars="200"/>
        <w:jc w:val="both"/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四、提交相应文件必须包含如下内容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1.报价函（加盖公章）；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2.法人营业执照或三证合一证书（复印件加盖公章）；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3.相应资质证书（复印件加盖公章）。</w:t>
      </w:r>
    </w:p>
    <w:p>
      <w:pPr>
        <w:pStyle w:val="6"/>
        <w:widowControl/>
        <w:spacing w:beforeAutospacing="0" w:afterAutospacing="0" w:line="500" w:lineRule="exact"/>
        <w:ind w:firstLine="720" w:firstLineChars="200"/>
        <w:jc w:val="both"/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五、其他事项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请有报价意向的技术服务单位自公告发布之日起5个工作日内（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2025年10月2</w:t>
      </w:r>
      <w:r>
        <w:rPr>
          <w:rFonts w:hint="default" w:ascii="仿宋_GB2312" w:hAnsi="宋体" w:eastAsia="仿宋_GB2312" w:cs="宋体"/>
          <w:color w:val="000000"/>
          <w:sz w:val="32"/>
          <w:szCs w:val="32"/>
          <w:shd w:val="clear" w:color="auto" w:fill="FFFFFF"/>
          <w:lang w:val="e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日前）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向我单位递交询价相关文件资料的电子扫描件（扫描件发送至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82</w:t>
      </w:r>
      <w:r>
        <w:rPr>
          <w:rFonts w:hint="default" w:asciiTheme="minorEastAsia" w:hAnsiTheme="minorEastAsia" w:cstheme="minorEastAsia"/>
          <w:color w:val="000000"/>
          <w:sz w:val="32"/>
          <w:szCs w:val="32"/>
          <w:shd w:val="clear" w:color="auto" w:fill="FFFFFF"/>
          <w:lang w:val="en"/>
        </w:rPr>
        <w:t>42340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@163.com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），并将纸质材料寄达我局（地址：福建省三明市梅列区崇桂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新村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86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幢龙泉大厦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楼，邮编：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365000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），联系人：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  <w:t>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女士，联系电话：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0598-82</w:t>
      </w:r>
      <w:r>
        <w:rPr>
          <w:rFonts w:hint="default" w:asciiTheme="minorEastAsia" w:hAnsiTheme="minorEastAsia" w:cstheme="minorEastAsia"/>
          <w:color w:val="000000"/>
          <w:sz w:val="32"/>
          <w:szCs w:val="32"/>
          <w:shd w:val="clear" w:color="auto" w:fill="FFFFFF"/>
          <w:lang w:val="en"/>
        </w:rPr>
        <w:t>42340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pacing w:beforeAutospacing="0" w:afterAutospacing="0" w:line="500" w:lineRule="exact"/>
        <w:ind w:firstLine="720" w:firstLineChars="200"/>
        <w:jc w:val="both"/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六、特别说明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本次报价不作为项目采购投（中）标依据，仅作为我单位编制该项目预算控制价的参考依据。请予以支持。</w:t>
      </w:r>
    </w:p>
    <w:p>
      <w:pPr>
        <w:pStyle w:val="6"/>
        <w:widowControl/>
        <w:spacing w:beforeAutospacing="0" w:afterAutospacing="0" w:line="500" w:lineRule="exact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附件：报价函（格式）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</w:t>
      </w:r>
    </w:p>
    <w:p>
      <w:pPr>
        <w:pStyle w:val="6"/>
        <w:widowControl/>
        <w:spacing w:beforeAutospacing="0" w:afterAutospacing="0" w:line="5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wordWrap w:val="0"/>
        <w:spacing w:beforeAutospacing="0" w:afterAutospacing="0" w:line="50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三明市自然资源局    </w:t>
      </w:r>
    </w:p>
    <w:p>
      <w:pPr>
        <w:pStyle w:val="6"/>
        <w:widowControl/>
        <w:wordWrap w:val="0"/>
        <w:spacing w:beforeAutospacing="0" w:afterAutospacing="0" w:line="50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2025年10月20日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587" w:right="1474" w:bottom="1417" w:left="1587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</w:pPr>
    </w:p>
    <w:p>
      <w:pPr>
        <w:pStyle w:val="2"/>
        <w:widowControl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关于福建省三明市地磅综合监管系统服务项目</w:t>
      </w:r>
    </w:p>
    <w:p>
      <w:pPr>
        <w:pStyle w:val="2"/>
        <w:widowControl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费用报价的函</w:t>
      </w:r>
    </w:p>
    <w:p>
      <w:pPr>
        <w:spacing w:line="500" w:lineRule="exact"/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三明市自然资源局：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根据贵单位《关于公开征询福建省三明市地磅综合监管系统服务项目费用的公告》相关要求，经核算，我单位提出该项目报价为¥       万元（大写：     ），详见下表：</w:t>
      </w:r>
    </w:p>
    <w:p>
      <w:pPr>
        <w:spacing w:line="500" w:lineRule="exact"/>
      </w:pPr>
    </w:p>
    <w:tbl>
      <w:tblPr>
        <w:tblStyle w:val="8"/>
        <w:tblW w:w="4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11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83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7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7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687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地磅管理系统服务</w:t>
            </w:r>
          </w:p>
        </w:tc>
        <w:tc>
          <w:tcPr>
            <w:tcW w:w="147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687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采矿点监控系统服务</w:t>
            </w:r>
          </w:p>
        </w:tc>
        <w:tc>
          <w:tcPr>
            <w:tcW w:w="147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687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4G网络及等保测评服务</w:t>
            </w:r>
          </w:p>
        </w:tc>
        <w:tc>
          <w:tcPr>
            <w:tcW w:w="147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687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安装调试服务</w:t>
            </w:r>
          </w:p>
        </w:tc>
        <w:tc>
          <w:tcPr>
            <w:tcW w:w="147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521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 计</w:t>
            </w:r>
          </w:p>
        </w:tc>
        <w:tc>
          <w:tcPr>
            <w:tcW w:w="147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此函。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ⅩⅩⅩⅩ（单位名称）</w:t>
      </w:r>
    </w:p>
    <w:p>
      <w:pPr>
        <w:wordWrap w:val="0"/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月  日      </w:t>
      </w:r>
    </w:p>
    <w:sectPr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34"/>
    <w:rsid w:val="001D3D5C"/>
    <w:rsid w:val="002816F1"/>
    <w:rsid w:val="002B2FEE"/>
    <w:rsid w:val="00571CEC"/>
    <w:rsid w:val="00640BE1"/>
    <w:rsid w:val="00644F65"/>
    <w:rsid w:val="00727E63"/>
    <w:rsid w:val="00854BD8"/>
    <w:rsid w:val="00904556"/>
    <w:rsid w:val="009253A1"/>
    <w:rsid w:val="00941C97"/>
    <w:rsid w:val="00B47434"/>
    <w:rsid w:val="00BC7368"/>
    <w:rsid w:val="00BF1F27"/>
    <w:rsid w:val="00C56514"/>
    <w:rsid w:val="00E84AA9"/>
    <w:rsid w:val="00FE47A0"/>
    <w:rsid w:val="06FBB720"/>
    <w:rsid w:val="0D7778E1"/>
    <w:rsid w:val="23FF2CDC"/>
    <w:rsid w:val="2FF75EFF"/>
    <w:rsid w:val="2FFF22A7"/>
    <w:rsid w:val="3EF6141F"/>
    <w:rsid w:val="3F5DFAD5"/>
    <w:rsid w:val="3FD7FCB9"/>
    <w:rsid w:val="3FDC3BE4"/>
    <w:rsid w:val="3FF797BA"/>
    <w:rsid w:val="47FE4FA6"/>
    <w:rsid w:val="4FFBB2B7"/>
    <w:rsid w:val="521E2A53"/>
    <w:rsid w:val="539D467F"/>
    <w:rsid w:val="55FBFA2C"/>
    <w:rsid w:val="5720AB99"/>
    <w:rsid w:val="57FBE2D5"/>
    <w:rsid w:val="5A9F117D"/>
    <w:rsid w:val="5E454A78"/>
    <w:rsid w:val="5FCC6077"/>
    <w:rsid w:val="5FF48924"/>
    <w:rsid w:val="661CA5D9"/>
    <w:rsid w:val="67CE32FB"/>
    <w:rsid w:val="67DF57D1"/>
    <w:rsid w:val="67F7204A"/>
    <w:rsid w:val="69BFCCF3"/>
    <w:rsid w:val="6AFD0963"/>
    <w:rsid w:val="6B73A29A"/>
    <w:rsid w:val="6E7F0ED5"/>
    <w:rsid w:val="73D74681"/>
    <w:rsid w:val="73EFF43E"/>
    <w:rsid w:val="7649FB3B"/>
    <w:rsid w:val="77FFA13D"/>
    <w:rsid w:val="79B56932"/>
    <w:rsid w:val="7B6E80B1"/>
    <w:rsid w:val="7D4F8C6B"/>
    <w:rsid w:val="7EDEBD14"/>
    <w:rsid w:val="7FBFC92B"/>
    <w:rsid w:val="7FDF35E9"/>
    <w:rsid w:val="7FDF6A30"/>
    <w:rsid w:val="7FDF808F"/>
    <w:rsid w:val="7FFBDB15"/>
    <w:rsid w:val="7FFDB2A5"/>
    <w:rsid w:val="7FFFA4FB"/>
    <w:rsid w:val="9FDF01A7"/>
    <w:rsid w:val="A2FB8AC2"/>
    <w:rsid w:val="AD7F5C2E"/>
    <w:rsid w:val="AE7F0BAB"/>
    <w:rsid w:val="B3AF7DB0"/>
    <w:rsid w:val="B7EEBC91"/>
    <w:rsid w:val="B7F7D02F"/>
    <w:rsid w:val="CA558541"/>
    <w:rsid w:val="CFBFADCF"/>
    <w:rsid w:val="DB9B62F8"/>
    <w:rsid w:val="DE7F0823"/>
    <w:rsid w:val="DFFA5098"/>
    <w:rsid w:val="DFFF9220"/>
    <w:rsid w:val="DFFFCA16"/>
    <w:rsid w:val="E36D34B9"/>
    <w:rsid w:val="E5FE5CA0"/>
    <w:rsid w:val="E7CDC602"/>
    <w:rsid w:val="E9DF60EC"/>
    <w:rsid w:val="EEBF6809"/>
    <w:rsid w:val="F0EDFBA7"/>
    <w:rsid w:val="F1912323"/>
    <w:rsid w:val="F7F6D753"/>
    <w:rsid w:val="FB7E1C13"/>
    <w:rsid w:val="FBDB6EBB"/>
    <w:rsid w:val="FD7F7655"/>
    <w:rsid w:val="FEFDA3E3"/>
    <w:rsid w:val="FF5B33DA"/>
    <w:rsid w:val="FFB85C45"/>
    <w:rsid w:val="FFBF60ED"/>
    <w:rsid w:val="FFD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279</Words>
  <Characters>1591</Characters>
  <Lines>13</Lines>
  <Paragraphs>3</Paragraphs>
  <TotalTime>13</TotalTime>
  <ScaleCrop>false</ScaleCrop>
  <LinksUpToDate>false</LinksUpToDate>
  <CharactersWithSpaces>1867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2025-10-17T17:56:00Z</dcterms:created>
  <dc:creator>smdh</dc:creator>
  <cp:lastModifiedBy>user</cp:lastModifiedBy>
  <cp:lastPrinted>2024-03-08T09:33:00Z</cp:lastPrinted>
  <dcterms:modified xsi:type="dcterms:W3CDTF">2025-10-20T17:11:22Z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4B5A1D9B9EDE18D111C3E765AAF2CAD2</vt:lpwstr>
  </property>
</Properties>
</file>