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三明市自然资源局关于征询三明市级低效用地再开发试点工作费用的</w:t>
      </w:r>
      <w:r>
        <w:rPr>
          <w:rFonts w:hint="eastAsia" w:ascii="方正小标宋简体" w:hAnsi="方正小标宋简体" w:eastAsia="方正小标宋简体" w:cs="方正小标宋简体"/>
          <w:sz w:val="44"/>
          <w:szCs w:val="44"/>
          <w:lang w:val="en-US" w:eastAsia="zh-CN"/>
        </w:rPr>
        <w:t>公告</w:t>
      </w:r>
    </w:p>
    <w:p>
      <w:pPr>
        <w:spacing w:line="560" w:lineRule="exact"/>
        <w:ind w:firstLine="648"/>
        <w:rPr>
          <w:rFonts w:hint="eastAsia" w:ascii="仿宋_GB2312" w:hAnsi="仿宋" w:eastAsia="仿宋_GB2312" w:cs="仿宋"/>
          <w:sz w:val="32"/>
          <w:szCs w:val="32"/>
        </w:rPr>
      </w:pPr>
    </w:p>
    <w:p>
      <w:pPr>
        <w:spacing w:line="560" w:lineRule="exact"/>
        <w:ind w:firstLine="648"/>
        <w:rPr>
          <w:rFonts w:ascii="仿宋_GB2312" w:hAnsi="仿宋" w:eastAsia="仿宋_GB2312" w:cs="仿宋"/>
          <w:sz w:val="32"/>
          <w:szCs w:val="32"/>
          <w:highlight w:val="none"/>
        </w:rPr>
      </w:pPr>
      <w:r>
        <w:rPr>
          <w:rFonts w:hint="eastAsia" w:ascii="仿宋_GB2312" w:hAnsi="仿宋" w:eastAsia="仿宋_GB2312" w:cs="仿宋"/>
          <w:sz w:val="32"/>
          <w:szCs w:val="32"/>
        </w:rPr>
        <w:t>根据《自然资源部关于扩大深化低效用地再开发试点工作的通知》（自然资发〔2025〕83号）《福建省自然资源厅关于加快推进低效用地再开发试点工作的通知》</w:t>
      </w:r>
      <w:r>
        <w:rPr>
          <w:rFonts w:hint="eastAsia" w:ascii="仿宋_GB2312" w:hAnsi="仿宋" w:eastAsia="仿宋_GB2312" w:cs="仿宋"/>
          <w:sz w:val="32"/>
          <w:szCs w:val="32"/>
          <w:lang w:val="en-US" w:eastAsia="zh-CN"/>
        </w:rPr>
        <w:t>和《三明市人民政府办公室关于印发&lt;</w:t>
      </w:r>
      <w:r>
        <w:rPr>
          <w:rFonts w:hint="eastAsia" w:ascii="仿宋_GB2312" w:hAnsi="仿宋" w:eastAsia="仿宋_GB2312" w:cs="仿宋"/>
          <w:sz w:val="32"/>
          <w:szCs w:val="32"/>
          <w:lang w:eastAsia="zh-CN"/>
        </w:rPr>
        <w:t>三明市低效用地再开发试点工作实施方案〉的通知》</w:t>
      </w:r>
      <w:r>
        <w:rPr>
          <w:rFonts w:hint="eastAsia" w:ascii="仿宋_GB2312" w:hAnsi="仿宋" w:eastAsia="仿宋_GB2312" w:cs="仿宋"/>
          <w:sz w:val="32"/>
          <w:szCs w:val="32"/>
          <w:lang w:val="en-US" w:eastAsia="zh-CN"/>
        </w:rPr>
        <w:t>（明政办〔2025〕18号）</w:t>
      </w:r>
      <w:r>
        <w:rPr>
          <w:rFonts w:hint="eastAsia" w:ascii="仿宋_GB2312" w:hAnsi="仿宋" w:eastAsia="仿宋_GB2312" w:cs="仿宋"/>
          <w:sz w:val="32"/>
          <w:szCs w:val="32"/>
        </w:rPr>
        <w:t>等文件精神，</w:t>
      </w:r>
      <w:r>
        <w:rPr>
          <w:rFonts w:hint="eastAsia" w:ascii="仿宋_GB2312" w:hAnsi="仿宋" w:eastAsia="仿宋_GB2312" w:cs="仿宋"/>
          <w:sz w:val="32"/>
          <w:szCs w:val="32"/>
          <w:lang w:val="en-US" w:eastAsia="zh-CN"/>
        </w:rPr>
        <w:t>为科学编制项目预算控制价，保障试点工作顺利推进，现就三明市级低效用地再开发试点工作技术服务费用事宜，特</w:t>
      </w:r>
      <w:r>
        <w:rPr>
          <w:rFonts w:hint="eastAsia" w:ascii="仿宋_GB2312" w:hAnsi="仿宋" w:cs="仿宋"/>
          <w:sz w:val="32"/>
          <w:szCs w:val="32"/>
          <w:lang w:val="en-US" w:eastAsia="zh-CN"/>
        </w:rPr>
        <w:t>公开</w:t>
      </w:r>
      <w:r>
        <w:rPr>
          <w:rFonts w:hint="eastAsia" w:ascii="仿宋_GB2312" w:hAnsi="仿宋" w:eastAsia="仿宋_GB2312" w:cs="仿宋"/>
          <w:sz w:val="32"/>
          <w:szCs w:val="32"/>
          <w:lang w:val="en-US" w:eastAsia="zh-CN"/>
        </w:rPr>
        <w:t>征询报价。</w:t>
      </w:r>
      <w:r>
        <w:rPr>
          <w:rFonts w:hint="eastAsia" w:ascii="仿宋_GB2312" w:hAnsi="仿宋" w:eastAsia="仿宋_GB2312" w:cs="仿宋"/>
          <w:sz w:val="32"/>
          <w:szCs w:val="32"/>
        </w:rPr>
        <w:t>根据</w:t>
      </w:r>
      <w:r>
        <w:rPr>
          <w:rFonts w:hint="eastAsia" w:ascii="仿宋_GB2312" w:hAnsi="仿宋" w:cs="仿宋"/>
          <w:sz w:val="32"/>
          <w:szCs w:val="32"/>
          <w:lang w:eastAsia="zh-CN"/>
        </w:rPr>
        <w:t>项目</w:t>
      </w:r>
      <w:r>
        <w:rPr>
          <w:rFonts w:hint="eastAsia" w:ascii="仿宋_GB2312" w:hAnsi="仿宋" w:eastAsia="仿宋_GB2312" w:cs="仿宋"/>
          <w:sz w:val="32"/>
          <w:szCs w:val="32"/>
        </w:rPr>
        <w:t>报价表</w:t>
      </w:r>
      <w:r>
        <w:rPr>
          <w:rFonts w:hint="eastAsia" w:ascii="仿宋_GB2312" w:hAnsi="仿宋" w:cs="仿宋"/>
          <w:sz w:val="32"/>
          <w:szCs w:val="32"/>
          <w:lang w:eastAsia="zh-CN"/>
        </w:rPr>
        <w:t>填写预算金额</w:t>
      </w:r>
      <w:r>
        <w:rPr>
          <w:rFonts w:hint="eastAsia" w:ascii="仿宋_GB2312" w:hAnsi="仿宋" w:eastAsia="仿宋_GB2312" w:cs="仿宋"/>
          <w:sz w:val="32"/>
          <w:szCs w:val="32"/>
        </w:rPr>
        <w:t>并加盖公</w:t>
      </w:r>
      <w:r>
        <w:rPr>
          <w:rFonts w:hint="eastAsia" w:ascii="仿宋_GB2312" w:hAnsi="仿宋" w:eastAsia="仿宋_GB2312" w:cs="仿宋"/>
          <w:sz w:val="32"/>
          <w:szCs w:val="32"/>
          <w:highlight w:val="none"/>
        </w:rPr>
        <w:t>章，于</w:t>
      </w:r>
      <w:r>
        <w:rPr>
          <w:rFonts w:hint="eastAsia" w:ascii="仿宋_GB2312" w:hAnsi="仿宋" w:cs="仿宋"/>
          <w:sz w:val="32"/>
          <w:szCs w:val="32"/>
          <w:highlight w:val="none"/>
          <w:lang w:val="en-US" w:eastAsia="zh-CN"/>
        </w:rPr>
        <w:t>1</w:t>
      </w:r>
      <w:r>
        <w:rPr>
          <w:rFonts w:hint="eastAsia" w:ascii="仿宋_GB2312" w:hAnsi="仿宋" w:eastAsia="仿宋_GB2312" w:cs="仿宋"/>
          <w:sz w:val="32"/>
          <w:szCs w:val="32"/>
          <w:highlight w:val="none"/>
        </w:rPr>
        <w:t>月</w:t>
      </w:r>
      <w:r>
        <w:rPr>
          <w:rFonts w:hint="eastAsia" w:ascii="仿宋_GB2312" w:hAnsi="仿宋" w:cs="仿宋"/>
          <w:sz w:val="32"/>
          <w:szCs w:val="32"/>
          <w:highlight w:val="none"/>
          <w:lang w:val="en-US" w:eastAsia="zh-CN"/>
        </w:rPr>
        <w:t>27</w:t>
      </w:r>
      <w:r>
        <w:rPr>
          <w:rFonts w:hint="eastAsia" w:ascii="仿宋_GB2312" w:hAnsi="仿宋" w:eastAsia="仿宋_GB2312" w:cs="仿宋"/>
          <w:sz w:val="32"/>
          <w:szCs w:val="32"/>
          <w:highlight w:val="none"/>
        </w:rPr>
        <w:t>日前将纸质报价表邮寄至三明市三元区</w:t>
      </w:r>
      <w:r>
        <w:rPr>
          <w:rFonts w:ascii="仿宋_GB2312" w:hAnsi="仿宋" w:eastAsia="仿宋_GB2312" w:cs="仿宋"/>
          <w:sz w:val="32"/>
          <w:szCs w:val="32"/>
          <w:highlight w:val="none"/>
        </w:rPr>
        <w:t>崇桂新村</w:t>
      </w:r>
      <w:r>
        <w:rPr>
          <w:rFonts w:hint="eastAsia" w:ascii="仿宋_GB2312" w:hAnsi="仿宋" w:eastAsia="仿宋_GB2312" w:cs="仿宋"/>
          <w:sz w:val="32"/>
          <w:szCs w:val="32"/>
          <w:highlight w:val="none"/>
        </w:rPr>
        <w:t>86幢</w:t>
      </w:r>
      <w:r>
        <w:rPr>
          <w:rFonts w:ascii="仿宋_GB2312" w:hAnsi="仿宋" w:eastAsia="仿宋_GB2312" w:cs="仿宋"/>
          <w:sz w:val="32"/>
          <w:szCs w:val="32"/>
          <w:highlight w:val="none"/>
        </w:rPr>
        <w:t>龙泉大厦</w:t>
      </w:r>
      <w:r>
        <w:rPr>
          <w:rFonts w:hint="eastAsia" w:ascii="仿宋_GB2312" w:hAnsi="仿宋" w:eastAsia="仿宋_GB2312" w:cs="仿宋"/>
          <w:sz w:val="32"/>
          <w:szCs w:val="32"/>
          <w:highlight w:val="none"/>
          <w:lang w:val="en-US" w:eastAsia="zh-CN"/>
        </w:rPr>
        <w:t>12</w:t>
      </w:r>
      <w:r>
        <w:rPr>
          <w:rFonts w:hint="eastAsia" w:ascii="仿宋_GB2312" w:hAnsi="仿宋" w:eastAsia="仿宋_GB2312" w:cs="仿宋"/>
          <w:sz w:val="32"/>
          <w:szCs w:val="32"/>
          <w:highlight w:val="none"/>
        </w:rPr>
        <w:t>楼（开发利用科），联系人：</w:t>
      </w:r>
      <w:r>
        <w:rPr>
          <w:rFonts w:hint="eastAsia" w:ascii="仿宋_GB2312" w:hAnsi="仿宋" w:cs="仿宋"/>
          <w:sz w:val="32"/>
          <w:szCs w:val="32"/>
          <w:highlight w:val="none"/>
          <w:lang w:val="en-US" w:eastAsia="zh-CN"/>
        </w:rPr>
        <w:t>小邓</w:t>
      </w:r>
      <w:r>
        <w:rPr>
          <w:rFonts w:hint="eastAsia" w:ascii="仿宋_GB2312" w:hAnsi="仿宋" w:eastAsia="仿宋_GB2312" w:cs="仿宋"/>
          <w:sz w:val="32"/>
          <w:szCs w:val="32"/>
          <w:highlight w:val="none"/>
        </w:rPr>
        <w:t>，联系电话：0598-8289017。</w:t>
      </w:r>
    </w:p>
    <w:p>
      <w:pPr>
        <w:spacing w:line="560" w:lineRule="exact"/>
        <w:rPr>
          <w:rFonts w:ascii="仿宋_GB2312" w:hAnsi="仿宋" w:eastAsia="仿宋_GB2312" w:cs="仿宋"/>
          <w:sz w:val="32"/>
          <w:szCs w:val="32"/>
        </w:rPr>
      </w:pPr>
    </w:p>
    <w:p>
      <w:pPr>
        <w:widowControl/>
        <w:shd w:val="clear" w:color="auto" w:fill="FFFFFF"/>
        <w:spacing w:line="560" w:lineRule="exact"/>
        <w:ind w:left="1933" w:leftChars="304" w:hanging="960" w:hangingChars="3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附件：项目报价表</w:t>
      </w:r>
    </w:p>
    <w:p>
      <w:pPr>
        <w:spacing w:line="560" w:lineRule="exact"/>
        <w:rPr>
          <w:rFonts w:ascii="仿宋_GB2312" w:hAnsi="仿宋" w:eastAsia="仿宋_GB2312" w:cs="仿宋"/>
          <w:sz w:val="32"/>
          <w:szCs w:val="32"/>
        </w:rPr>
      </w:pPr>
    </w:p>
    <w:p>
      <w:pPr>
        <w:wordWrap w:val="0"/>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三明市自然资源局 </w:t>
      </w:r>
      <w:r>
        <w:rPr>
          <w:rFonts w:ascii="仿宋_GB2312" w:hAnsi="仿宋" w:eastAsia="仿宋_GB2312" w:cs="仿宋"/>
          <w:sz w:val="32"/>
          <w:szCs w:val="32"/>
        </w:rPr>
        <w:t xml:space="preserve"> </w:t>
      </w:r>
    </w:p>
    <w:p>
      <w:pPr>
        <w:wordWrap w:val="0"/>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cs="仿宋"/>
          <w:sz w:val="32"/>
          <w:szCs w:val="32"/>
          <w:lang w:val="en-US" w:eastAsia="zh-CN"/>
        </w:rPr>
        <w:t>22</w:t>
      </w:r>
      <w:r>
        <w:rPr>
          <w:rFonts w:hint="eastAsia" w:ascii="仿宋_GB2312" w:hAnsi="仿宋" w:eastAsia="仿宋_GB2312" w:cs="仿宋"/>
          <w:sz w:val="32"/>
          <w:szCs w:val="32"/>
        </w:rPr>
        <w:t xml:space="preserve">日 </w:t>
      </w:r>
      <w:r>
        <w:rPr>
          <w:rFonts w:ascii="仿宋_GB2312" w:hAnsi="仿宋" w:eastAsia="仿宋_GB2312" w:cs="仿宋"/>
          <w:sz w:val="32"/>
          <w:szCs w:val="32"/>
        </w:rPr>
        <w:t xml:space="preserve"> </w:t>
      </w:r>
    </w:p>
    <w:p>
      <w:pPr>
        <w:rPr>
          <w:rFonts w:ascii="仿宋_GB2312" w:hAnsi="仿宋" w:eastAsia="仿宋_GB2312" w:cs="仿宋"/>
          <w:sz w:val="32"/>
          <w:szCs w:val="32"/>
        </w:rPr>
      </w:pPr>
      <w:r>
        <w:rPr>
          <w:rFonts w:ascii="仿宋_GB2312" w:hAnsi="仿宋" w:eastAsia="仿宋_GB2312" w:cs="仿宋"/>
          <w:sz w:val="32"/>
          <w:szCs w:val="32"/>
        </w:rPr>
        <w:br w:type="page"/>
      </w:r>
    </w:p>
    <w:p>
      <w:pPr>
        <w:wordWrap w:val="0"/>
        <w:spacing w:line="560" w:lineRule="exact"/>
        <w:jc w:val="right"/>
        <w:rPr>
          <w:rFonts w:ascii="仿宋_GB2312" w:hAnsi="仿宋" w:eastAsia="仿宋_GB2312" w:cs="仿宋"/>
          <w:sz w:val="32"/>
          <w:szCs w:val="32"/>
        </w:rPr>
        <w:sectPr>
          <w:pgSz w:w="11906" w:h="16838"/>
          <w:pgMar w:top="2098" w:right="1361" w:bottom="1985" w:left="1474" w:header="851" w:footer="992" w:gutter="0"/>
          <w:cols w:space="425" w:num="1"/>
          <w:docGrid w:type="lines" w:linePitch="312" w:charSpace="0"/>
        </w:sectPr>
      </w:pPr>
    </w:p>
    <w:p>
      <w:pPr>
        <w:wordWrap/>
        <w:spacing w:line="560" w:lineRule="exact"/>
        <w:jc w:val="center"/>
        <w:rPr>
          <w:rFonts w:hint="eastAsia" w:ascii="黑体" w:hAnsi="黑体" w:eastAsia="黑体" w:cs="黑体"/>
          <w:b/>
          <w:bCs/>
          <w:sz w:val="32"/>
          <w:szCs w:val="32"/>
        </w:rPr>
      </w:pPr>
      <w:bookmarkStart w:id="0" w:name="_GoBack"/>
      <w:bookmarkEnd w:id="0"/>
      <w:r>
        <w:rPr>
          <w:rFonts w:hint="eastAsia" w:ascii="黑体" w:hAnsi="黑体" w:eastAsia="黑体" w:cs="黑体"/>
          <w:b w:val="0"/>
          <w:bCs w:val="0"/>
          <w:kern w:val="0"/>
          <w:sz w:val="32"/>
          <w:szCs w:val="32"/>
        </w:rPr>
        <w:t>项目报价表</w:t>
      </w:r>
    </w:p>
    <w:tbl>
      <w:tblPr>
        <w:tblStyle w:val="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9"/>
        <w:gridCol w:w="10203"/>
        <w:gridCol w:w="1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2" w:type="pct"/>
            <w:tcBorders>
              <w:top w:val="single" w:color="000000" w:sz="8" w:space="0"/>
              <w:left w:val="single" w:color="000000" w:sz="8" w:space="0"/>
              <w:bottom w:val="single" w:color="000000" w:sz="8" w:space="0"/>
              <w:right w:val="single" w:color="000000" w:sz="8" w:space="0"/>
            </w:tcBorders>
            <w:noWrap/>
            <w:vAlign w:val="center"/>
          </w:tcPr>
          <w:p>
            <w:pPr>
              <w:pStyle w:val="2"/>
              <w:jc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4"/>
                <w:szCs w:val="24"/>
                <w:u w:val="none"/>
                <w:lang w:val="en-US" w:eastAsia="zh-CN" w:bidi="ar"/>
                <w14:ligatures w14:val="standardContextual"/>
              </w:rPr>
              <w:t>采购分项工作</w:t>
            </w:r>
          </w:p>
        </w:tc>
        <w:tc>
          <w:tcPr>
            <w:tcW w:w="3601" w:type="pct"/>
            <w:tcBorders>
              <w:top w:val="single" w:color="000000" w:sz="8" w:space="0"/>
              <w:left w:val="nil"/>
              <w:bottom w:val="single" w:color="000000" w:sz="8" w:space="0"/>
              <w:right w:val="single" w:color="000000" w:sz="8" w:space="0"/>
            </w:tcBorders>
            <w:noWrap w:val="0"/>
            <w:vAlign w:val="center"/>
          </w:tcPr>
          <w:p>
            <w:pPr>
              <w:pStyle w:val="2"/>
              <w:jc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主要内容</w:t>
            </w:r>
          </w:p>
        </w:tc>
        <w:tc>
          <w:tcPr>
            <w:tcW w:w="685" w:type="pct"/>
            <w:tcBorders>
              <w:top w:val="single" w:color="000000" w:sz="8" w:space="0"/>
              <w:left w:val="nil"/>
              <w:bottom w:val="single" w:color="000000" w:sz="8" w:space="0"/>
              <w:right w:val="single" w:color="000000" w:sz="8" w:space="0"/>
            </w:tcBorders>
            <w:noWrap w:val="0"/>
            <w:vAlign w:val="center"/>
          </w:tcPr>
          <w:p>
            <w:pPr>
              <w:pStyle w:val="2"/>
              <w:jc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sz w:val="24"/>
                <w:szCs w:val="24"/>
                <w:vertAlign w:val="baseline"/>
                <w:lang w:val="en-US" w:eastAsia="zh-CN"/>
              </w:rPr>
              <w:t>报价（万元）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2" w:type="pct"/>
            <w:tcBorders>
              <w:top w:val="nil"/>
              <w:left w:val="single" w:color="000000" w:sz="8" w:space="0"/>
              <w:bottom w:val="single" w:color="000000" w:sz="8" w:space="0"/>
              <w:right w:val="single" w:color="000000" w:sz="8" w:space="0"/>
            </w:tcBorders>
            <w:noWrap/>
            <w:vAlign w:val="center"/>
          </w:tcPr>
          <w:p>
            <w:pPr>
              <w:pStyle w:val="2"/>
              <w:jc w:val="left"/>
              <w:rPr>
                <w:rFonts w:hint="eastAsia" w:ascii="仿宋_GB2312" w:hAnsi="仿宋_GB2312" w:eastAsia="仿宋_GB2312" w:cs="仿宋_GB2312"/>
                <w:b/>
                <w:bCs/>
                <w:i w:val="0"/>
                <w:iCs w:val="0"/>
                <w:color w:val="333333"/>
                <w:sz w:val="28"/>
                <w:szCs w:val="28"/>
                <w:u w:val="none"/>
              </w:rPr>
            </w:pPr>
            <w:r>
              <w:rPr>
                <w:rFonts w:hint="eastAsia" w:cs="仿宋_GB2312"/>
                <w:sz w:val="24"/>
                <w:szCs w:val="24"/>
                <w:lang w:val="en-US" w:eastAsia="zh-CN"/>
              </w:rPr>
              <w:t>1.低效用地数据库市级汇总</w:t>
            </w:r>
          </w:p>
        </w:tc>
        <w:tc>
          <w:tcPr>
            <w:tcW w:w="3601" w:type="pct"/>
            <w:tcBorders>
              <w:top w:val="nil"/>
              <w:left w:val="nil"/>
              <w:bottom w:val="single" w:color="000000" w:sz="8" w:space="0"/>
              <w:right w:val="single" w:color="000000" w:sz="8" w:space="0"/>
            </w:tcBorders>
            <w:noWrap w:val="0"/>
            <w:vAlign w:val="center"/>
          </w:tcPr>
          <w:p>
            <w:pPr>
              <w:pStyle w:val="2"/>
              <w:jc w:val="left"/>
              <w:rPr>
                <w:rFonts w:hint="eastAsia" w:ascii="仿宋_GB2312" w:hAnsi="仿宋_GB2312" w:eastAsia="仿宋_GB2312" w:cs="仿宋_GB2312"/>
                <w:b/>
                <w:bCs/>
                <w:i w:val="0"/>
                <w:iCs w:val="0"/>
                <w:color w:val="000000"/>
                <w:sz w:val="28"/>
                <w:szCs w:val="28"/>
                <w:u w:val="none"/>
              </w:rPr>
            </w:pPr>
            <w:r>
              <w:rPr>
                <w:rFonts w:hint="default" w:cs="仿宋_GB2312"/>
                <w:sz w:val="24"/>
                <w:szCs w:val="24"/>
                <w:lang w:val="en-US" w:eastAsia="zh-CN"/>
              </w:rPr>
              <w:t>试点期间的每年3月底前</w:t>
            </w:r>
            <w:r>
              <w:rPr>
                <w:rFonts w:hint="eastAsia" w:cs="仿宋_GB2312"/>
                <w:sz w:val="24"/>
                <w:szCs w:val="24"/>
                <w:lang w:val="en-US" w:eastAsia="zh-CN"/>
              </w:rPr>
              <w:t>，需</w:t>
            </w:r>
            <w:r>
              <w:rPr>
                <w:rFonts w:hint="default" w:cs="仿宋_GB2312"/>
                <w:sz w:val="24"/>
                <w:szCs w:val="24"/>
                <w:lang w:val="en-US" w:eastAsia="zh-CN"/>
              </w:rPr>
              <w:t>对各县（市、区）低效用地调查上图入库的成果进行质检、汇总，邀请专家论证后上报省厅审查，建立全市低效用地上图入库统一数据库。</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2" w:type="pct"/>
            <w:tcBorders>
              <w:top w:val="nil"/>
              <w:left w:val="single" w:color="000000" w:sz="8" w:space="0"/>
              <w:bottom w:val="single" w:color="000000" w:sz="8" w:space="0"/>
              <w:right w:val="single" w:color="000000" w:sz="8" w:space="0"/>
            </w:tcBorders>
            <w:noWrap/>
            <w:vAlign w:val="center"/>
          </w:tcPr>
          <w:p>
            <w:pPr>
              <w:pStyle w:val="2"/>
              <w:jc w:val="left"/>
              <w:rPr>
                <w:rFonts w:hint="eastAsia" w:ascii="仿宋_GB2312" w:hAnsi="仿宋_GB2312" w:eastAsia="仿宋_GB2312" w:cs="仿宋_GB2312"/>
                <w:b/>
                <w:bCs/>
                <w:i w:val="0"/>
                <w:iCs w:val="0"/>
                <w:color w:val="333333"/>
                <w:sz w:val="28"/>
                <w:szCs w:val="28"/>
                <w:u w:val="none"/>
              </w:rPr>
            </w:pPr>
            <w:r>
              <w:rPr>
                <w:rFonts w:hint="eastAsia" w:cs="仿宋_GB2312"/>
                <w:sz w:val="24"/>
                <w:szCs w:val="24"/>
                <w:lang w:val="en-US" w:eastAsia="zh-CN"/>
              </w:rPr>
              <w:t>2.典型案例谋划总结提炼</w:t>
            </w:r>
          </w:p>
        </w:tc>
        <w:tc>
          <w:tcPr>
            <w:tcW w:w="3601" w:type="pct"/>
            <w:tcBorders>
              <w:top w:val="nil"/>
              <w:left w:val="nil"/>
              <w:bottom w:val="single" w:color="000000" w:sz="8" w:space="0"/>
              <w:right w:val="single" w:color="000000" w:sz="8" w:space="0"/>
            </w:tcBorders>
            <w:noWrap w:val="0"/>
            <w:vAlign w:val="center"/>
          </w:tcPr>
          <w:p>
            <w:pPr>
              <w:pStyle w:val="2"/>
              <w:jc w:val="left"/>
              <w:rPr>
                <w:rFonts w:hint="eastAsia" w:ascii="仿宋_GB2312" w:hAnsi="仿宋_GB2312" w:eastAsia="仿宋_GB2312" w:cs="仿宋_GB2312"/>
                <w:b/>
                <w:bCs/>
                <w:i w:val="0"/>
                <w:iCs w:val="0"/>
                <w:color w:val="000000"/>
                <w:sz w:val="28"/>
                <w:szCs w:val="28"/>
                <w:u w:val="none"/>
              </w:rPr>
            </w:pPr>
            <w:r>
              <w:rPr>
                <w:rFonts w:hint="eastAsia" w:cs="仿宋_GB2312"/>
                <w:sz w:val="24"/>
                <w:szCs w:val="24"/>
                <w:lang w:val="en-US" w:eastAsia="zh-CN"/>
              </w:rPr>
              <w:t>在城中村改造、工业用地盘活、商服用地转型、土地混合利用和用途转换、城镇生态空间整治、集体建设低效用地整治等领域，统筹选取先行先试项目实施，提炼典型案例与政策经验。形成6个典型案例定期上报</w:t>
            </w:r>
            <w:r>
              <w:rPr>
                <w:rFonts w:hint="default" w:cs="仿宋_GB2312"/>
                <w:sz w:val="24"/>
                <w:szCs w:val="24"/>
                <w:lang w:val="en-US" w:eastAsia="zh-CN"/>
              </w:rPr>
              <w:t>省</w:t>
            </w:r>
            <w:r>
              <w:rPr>
                <w:rFonts w:hint="eastAsia" w:cs="仿宋_GB2312"/>
                <w:sz w:val="24"/>
                <w:szCs w:val="24"/>
                <w:lang w:val="en-US" w:eastAsia="zh-CN"/>
              </w:rPr>
              <w:t>自然资源厅</w:t>
            </w:r>
            <w:r>
              <w:rPr>
                <w:rFonts w:hint="default" w:cs="仿宋_GB2312"/>
                <w:sz w:val="24"/>
                <w:szCs w:val="24"/>
                <w:lang w:val="en-US" w:eastAsia="zh-CN"/>
              </w:rPr>
              <w:t>，每半年上报</w:t>
            </w:r>
            <w:r>
              <w:rPr>
                <w:rFonts w:hint="eastAsia" w:cs="仿宋_GB2312"/>
                <w:sz w:val="24"/>
                <w:szCs w:val="24"/>
                <w:lang w:val="en-US" w:eastAsia="zh-CN"/>
              </w:rPr>
              <w:t>自然资源</w:t>
            </w:r>
            <w:r>
              <w:rPr>
                <w:rFonts w:hint="default" w:cs="仿宋_GB2312"/>
                <w:sz w:val="24"/>
                <w:szCs w:val="24"/>
                <w:lang w:val="en-US" w:eastAsia="zh-CN"/>
              </w:rPr>
              <w:t>部,争取1-2个案例申报国家级典型案例。</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2" w:type="pct"/>
            <w:tcBorders>
              <w:top w:val="nil"/>
              <w:left w:val="single" w:color="000000" w:sz="8" w:space="0"/>
              <w:bottom w:val="single" w:color="000000" w:sz="8" w:space="0"/>
              <w:right w:val="single" w:color="000000" w:sz="8" w:space="0"/>
            </w:tcBorders>
            <w:noWrap/>
            <w:vAlign w:val="center"/>
          </w:tcPr>
          <w:p>
            <w:pPr>
              <w:pStyle w:val="2"/>
              <w:jc w:val="left"/>
              <w:rPr>
                <w:rFonts w:hint="eastAsia" w:ascii="仿宋_GB2312" w:hAnsi="仿宋_GB2312" w:eastAsia="仿宋_GB2312" w:cs="仿宋_GB2312"/>
                <w:b/>
                <w:bCs/>
                <w:i w:val="0"/>
                <w:iCs w:val="0"/>
                <w:color w:val="333333"/>
                <w:sz w:val="28"/>
                <w:szCs w:val="28"/>
                <w:u w:val="none"/>
              </w:rPr>
            </w:pPr>
            <w:r>
              <w:rPr>
                <w:rFonts w:hint="eastAsia" w:cs="仿宋_GB2312"/>
                <w:sz w:val="24"/>
                <w:szCs w:val="24"/>
                <w:lang w:val="en-US" w:eastAsia="zh-CN"/>
              </w:rPr>
              <w:t>3.</w:t>
            </w:r>
            <w:r>
              <w:rPr>
                <w:rFonts w:hint="eastAsia" w:ascii="宋体" w:hAnsi="宋体" w:eastAsia="仿宋_GB2312" w:cs="仿宋_GB2312"/>
                <w:sz w:val="24"/>
                <w:szCs w:val="24"/>
                <w:lang w:val="en-US" w:eastAsia="zh-CN"/>
              </w:rPr>
              <w:t>政策研究（调研）</w:t>
            </w:r>
          </w:p>
        </w:tc>
        <w:tc>
          <w:tcPr>
            <w:tcW w:w="3601" w:type="pct"/>
            <w:tcBorders>
              <w:top w:val="nil"/>
              <w:left w:val="nil"/>
              <w:bottom w:val="single" w:color="000000" w:sz="8" w:space="0"/>
              <w:right w:val="single" w:color="000000" w:sz="8" w:space="0"/>
            </w:tcBorders>
            <w:noWrap w:val="0"/>
            <w:vAlign w:val="center"/>
          </w:tcPr>
          <w:p>
            <w:pPr>
              <w:pStyle w:val="2"/>
              <w:jc w:val="left"/>
              <w:rPr>
                <w:rFonts w:hint="eastAsia" w:ascii="仿宋_GB2312" w:hAnsi="仿宋_GB2312" w:eastAsia="仿宋_GB2312" w:cs="仿宋_GB2312"/>
                <w:b/>
                <w:bCs/>
                <w:i w:val="0"/>
                <w:iCs w:val="0"/>
                <w:color w:val="000000"/>
                <w:sz w:val="28"/>
                <w:szCs w:val="28"/>
                <w:u w:val="none"/>
              </w:rPr>
            </w:pPr>
            <w:r>
              <w:rPr>
                <w:rFonts w:hint="eastAsia" w:cs="仿宋_GB2312"/>
                <w:sz w:val="24"/>
                <w:szCs w:val="24"/>
                <w:lang w:val="en-US" w:eastAsia="zh-CN"/>
              </w:rPr>
              <w:t>根据三明市实际及项目推进情况协调出台相关政策（包括历史遗留问题、“工改”系列政策等），协助召开全市试点工作现场会及相关调研工作。形成4项相关政策文件建议</w:t>
            </w:r>
            <w:r>
              <w:rPr>
                <w:rFonts w:hint="default" w:cs="仿宋_GB2312"/>
                <w:sz w:val="24"/>
                <w:szCs w:val="24"/>
                <w:lang w:val="en-US" w:eastAsia="zh-CN"/>
              </w:rPr>
              <w:t>稿及相关调研报告。</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2" w:type="pct"/>
            <w:tcBorders>
              <w:top w:val="nil"/>
              <w:left w:val="single" w:color="000000" w:sz="8" w:space="0"/>
              <w:bottom w:val="single" w:color="000000" w:sz="8" w:space="0"/>
              <w:right w:val="single" w:color="000000" w:sz="8" w:space="0"/>
            </w:tcBorders>
            <w:noWrap/>
            <w:vAlign w:val="center"/>
          </w:tcPr>
          <w:p>
            <w:pPr>
              <w:pStyle w:val="2"/>
              <w:jc w:val="left"/>
              <w:rPr>
                <w:rFonts w:hint="eastAsia" w:ascii="仿宋_GB2312" w:hAnsi="仿宋_GB2312" w:eastAsia="仿宋_GB2312" w:cs="仿宋_GB2312"/>
                <w:b/>
                <w:bCs/>
                <w:i w:val="0"/>
                <w:iCs w:val="0"/>
                <w:color w:val="333333"/>
                <w:sz w:val="28"/>
                <w:szCs w:val="28"/>
                <w:u w:val="none"/>
              </w:rPr>
            </w:pPr>
            <w:r>
              <w:rPr>
                <w:rFonts w:hint="eastAsia" w:cs="仿宋_GB2312"/>
                <w:sz w:val="24"/>
                <w:szCs w:val="24"/>
                <w:lang w:val="en-US" w:eastAsia="zh-CN"/>
              </w:rPr>
              <w:t>4.</w:t>
            </w:r>
            <w:r>
              <w:rPr>
                <w:rFonts w:hint="eastAsia" w:ascii="宋体" w:hAnsi="宋体" w:eastAsia="仿宋_GB2312" w:cs="仿宋_GB2312"/>
                <w:sz w:val="24"/>
                <w:szCs w:val="24"/>
                <w:lang w:val="en-US" w:eastAsia="zh-CN"/>
              </w:rPr>
              <w:t>试点工作</w:t>
            </w:r>
            <w:r>
              <w:rPr>
                <w:rFonts w:hint="eastAsia" w:cs="仿宋_GB2312"/>
                <w:sz w:val="24"/>
                <w:szCs w:val="24"/>
                <w:lang w:val="en-US" w:eastAsia="zh-CN"/>
              </w:rPr>
              <w:t>技术</w:t>
            </w:r>
            <w:r>
              <w:rPr>
                <w:rFonts w:hint="eastAsia" w:ascii="宋体" w:hAnsi="宋体" w:eastAsia="仿宋_GB2312" w:cs="仿宋_GB2312"/>
                <w:sz w:val="24"/>
                <w:szCs w:val="24"/>
                <w:lang w:val="en-US" w:eastAsia="zh-CN"/>
              </w:rPr>
              <w:t>总结评估</w:t>
            </w:r>
          </w:p>
        </w:tc>
        <w:tc>
          <w:tcPr>
            <w:tcW w:w="3601" w:type="pct"/>
            <w:tcBorders>
              <w:top w:val="nil"/>
              <w:left w:val="nil"/>
              <w:bottom w:val="single" w:color="000000" w:sz="8" w:space="0"/>
              <w:right w:val="single" w:color="000000" w:sz="8" w:space="0"/>
            </w:tcBorders>
            <w:noWrap w:val="0"/>
            <w:vAlign w:val="center"/>
          </w:tcPr>
          <w:p>
            <w:pPr>
              <w:pStyle w:val="2"/>
              <w:jc w:val="left"/>
              <w:rPr>
                <w:rFonts w:hint="eastAsia" w:ascii="仿宋_GB2312" w:hAnsi="仿宋_GB2312" w:eastAsia="仿宋_GB2312" w:cs="仿宋_GB2312"/>
                <w:b/>
                <w:bCs/>
                <w:i w:val="0"/>
                <w:iCs w:val="0"/>
                <w:color w:val="000000"/>
                <w:sz w:val="28"/>
                <w:szCs w:val="28"/>
                <w:u w:val="none"/>
              </w:rPr>
            </w:pPr>
            <w:r>
              <w:rPr>
                <w:rFonts w:hint="eastAsia" w:cs="仿宋_GB2312"/>
                <w:sz w:val="24"/>
                <w:szCs w:val="24"/>
                <w:lang w:val="en-US" w:eastAsia="zh-CN"/>
              </w:rPr>
              <w:t>技术性评价政策成效，总结试点成功做法和经验，提炼可复制可推广的制度、政策、实践成果，最终形成试点工作总结报告。</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2"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333333"/>
                <w:kern w:val="0"/>
                <w:sz w:val="28"/>
                <w:szCs w:val="28"/>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14:ligatures w14:val="standardContextual"/>
              </w:rPr>
              <w:t>合计</w:t>
            </w:r>
          </w:p>
        </w:tc>
        <w:tc>
          <w:tcPr>
            <w:tcW w:w="3601"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bl>
    <w:p>
      <w:pPr>
        <w:widowControl/>
        <w:shd w:val="clear" w:color="auto" w:fill="FFFFFF"/>
        <w:spacing w:line="520" w:lineRule="atLeast"/>
        <w:ind w:firstLine="640"/>
        <w:jc w:val="left"/>
        <w:rPr>
          <w:rFonts w:hint="eastAsia" w:ascii="微软雅黑" w:hAnsi="微软雅黑" w:eastAsia="微软雅黑" w:cs="宋体"/>
          <w:color w:val="333333"/>
          <w:kern w:val="0"/>
          <w:sz w:val="24"/>
        </w:rPr>
      </w:pPr>
      <w:r>
        <w:rPr>
          <w:rFonts w:hint="eastAsia" w:ascii="仿宋_GB2312" w:hAnsi="微软雅黑" w:eastAsia="仿宋_GB2312" w:cs="宋体"/>
          <w:color w:val="333333"/>
          <w:kern w:val="0"/>
          <w:sz w:val="32"/>
          <w:szCs w:val="32"/>
        </w:rPr>
        <w:t>报价单位：（盖章）</w:t>
      </w:r>
    </w:p>
    <w:p>
      <w:pPr>
        <w:widowControl/>
        <w:shd w:val="clear" w:color="auto" w:fill="FFFFFF"/>
        <w:spacing w:line="520" w:lineRule="atLeast"/>
        <w:ind w:firstLine="640"/>
        <w:jc w:val="left"/>
        <w:rPr>
          <w:rFonts w:hint="eastAsia" w:ascii="微软雅黑" w:hAnsi="微软雅黑" w:eastAsia="微软雅黑" w:cs="宋体"/>
          <w:color w:val="333333"/>
          <w:kern w:val="0"/>
          <w:sz w:val="24"/>
        </w:rPr>
      </w:pPr>
      <w:r>
        <w:rPr>
          <w:rFonts w:hint="eastAsia" w:ascii="仿宋_GB2312" w:hAnsi="微软雅黑" w:eastAsia="仿宋_GB2312" w:cs="宋体"/>
          <w:color w:val="333333"/>
          <w:kern w:val="0"/>
          <w:sz w:val="32"/>
          <w:szCs w:val="32"/>
        </w:rPr>
        <w:t>法定代表人：（签字或盖章）</w:t>
      </w:r>
    </w:p>
    <w:p>
      <w:r>
        <w:rPr>
          <w:rFonts w:hint="eastAsia" w:ascii="仿宋_GB2312" w:hAnsi="微软雅黑" w:eastAsia="仿宋_GB2312" w:cs="宋体"/>
          <w:color w:val="333333"/>
          <w:kern w:val="0"/>
          <w:sz w:val="32"/>
          <w:szCs w:val="32"/>
        </w:rPr>
        <w:t>日 　 期：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9D2A"/>
    <w:rsid w:val="3FF99D2A"/>
    <w:rsid w:val="FCDBC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仿宋_GB2312" w:cs="宋体"/>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unhideWhenUsed/>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2026-01-22T10:58:00Z</dcterms:created>
  <dc:creator>user</dc:creator>
  <cp:lastModifiedBy>user</cp:lastModifiedBy>
  <dcterms:modified xsi:type="dcterms:W3CDTF">2026-01-22T11:02:51Z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912D63BB55749D2950927169A2A083B3</vt:lpwstr>
  </property>
</Properties>
</file>