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784B1B">
      <w:pPr>
        <w:jc w:val="left"/>
        <w:rPr>
          <w:rFonts w:hint="eastAsia"/>
        </w:rPr>
      </w:pPr>
      <w:r>
        <w:rPr>
          <w:rFonts w:hint="eastAsia"/>
          <w:b/>
          <w:color w:val="000000"/>
          <w:sz w:val="32"/>
          <w:szCs w:val="32"/>
        </w:rPr>
        <w:t>附件</w:t>
      </w:r>
      <w:r>
        <w:rPr>
          <w:rFonts w:hint="eastAsia"/>
          <w:b/>
          <w:color w:val="000000"/>
          <w:sz w:val="32"/>
          <w:szCs w:val="32"/>
          <w:lang w:val="en-US" w:eastAsia="zh-CN"/>
        </w:rPr>
        <w:t>2</w:t>
      </w:r>
    </w:p>
    <w:p w14:paraId="51B65A77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</w:rPr>
        <w:t>2026年度矿山开采监管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lang w:val="en-US" w:eastAsia="zh-CN"/>
        </w:rPr>
        <w:t>和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</w:rPr>
        <w:t>矿山地质环境治理恢复GNSS巡查市级复核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lang w:eastAsia="zh-CN"/>
        </w:rPr>
        <w:t>（技术服务费用）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</w:rPr>
        <w:t>报价表</w:t>
      </w:r>
    </w:p>
    <w:p w14:paraId="630DF3E8">
      <w:pPr>
        <w:pStyle w:val="5"/>
        <w:ind w:firstLine="420"/>
        <w:rPr>
          <w:rFonts w:hint="eastAsia"/>
        </w:rPr>
      </w:pPr>
    </w:p>
    <w:p w14:paraId="2380C3F3"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报价单位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</w:rPr>
        <w:t>盖章</w:t>
      </w:r>
      <w:r>
        <w:rPr>
          <w:rFonts w:hint="eastAsia"/>
          <w:sz w:val="28"/>
          <w:szCs w:val="28"/>
          <w:lang w:eastAsia="zh-CN"/>
        </w:rPr>
        <w:t>）</w:t>
      </w:r>
      <w:r>
        <w:rPr>
          <w:rFonts w:hint="eastAsia"/>
          <w:sz w:val="28"/>
          <w:szCs w:val="28"/>
        </w:rPr>
        <w:t>：                            时间：   年   月   日</w:t>
      </w:r>
    </w:p>
    <w:tbl>
      <w:tblPr>
        <w:tblStyle w:val="3"/>
        <w:tblW w:w="95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2"/>
        <w:gridCol w:w="1309"/>
        <w:gridCol w:w="43"/>
        <w:gridCol w:w="2939"/>
        <w:gridCol w:w="1784"/>
        <w:gridCol w:w="584"/>
        <w:gridCol w:w="329"/>
        <w:gridCol w:w="1376"/>
        <w:gridCol w:w="438"/>
      </w:tblGrid>
      <w:tr w14:paraId="3B1B0E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  <w:jc w:val="center"/>
        </w:trPr>
        <w:tc>
          <w:tcPr>
            <w:tcW w:w="2071" w:type="dxa"/>
            <w:gridSpan w:val="2"/>
            <w:noWrap w:val="0"/>
            <w:vAlign w:val="center"/>
          </w:tcPr>
          <w:p w14:paraId="7253A26C">
            <w:pPr>
              <w:jc w:val="center"/>
              <w:rPr>
                <w:rFonts w:hint="eastAsia" w:ascii="仿宋_GB2312" w:hAnsi="宋体" w:eastAsia="仿宋_GB2312"/>
                <w:b/>
                <w:color w:val="00000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 w:val="30"/>
                <w:szCs w:val="30"/>
              </w:rPr>
              <w:t>单位</w:t>
            </w:r>
            <w:r>
              <w:rPr>
                <w:rFonts w:hint="eastAsia" w:ascii="仿宋_GB2312" w:hAnsi="宋体" w:eastAsia="仿宋_GB2312"/>
                <w:b/>
                <w:color w:val="000000"/>
                <w:sz w:val="30"/>
                <w:szCs w:val="30"/>
                <w:lang w:eastAsia="zh-CN"/>
              </w:rPr>
              <w:t>名称</w:t>
            </w:r>
          </w:p>
        </w:tc>
        <w:tc>
          <w:tcPr>
            <w:tcW w:w="7493" w:type="dxa"/>
            <w:gridSpan w:val="7"/>
            <w:noWrap w:val="0"/>
            <w:vAlign w:val="center"/>
          </w:tcPr>
          <w:p w14:paraId="0C1AC469">
            <w:pPr>
              <w:widowControl/>
              <w:spacing w:line="490" w:lineRule="exact"/>
              <w:jc w:val="center"/>
              <w:rPr>
                <w:rFonts w:hint="eastAsia" w:ascii="仿宋_GB2312" w:eastAsia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000000"/>
                <w:sz w:val="30"/>
                <w:szCs w:val="30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000000"/>
                <w:sz w:val="30"/>
                <w:szCs w:val="30"/>
              </w:rPr>
              <w:t xml:space="preserve"> </w:t>
            </w:r>
          </w:p>
        </w:tc>
      </w:tr>
      <w:tr w14:paraId="197854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9" w:hRule="atLeast"/>
          <w:jc w:val="center"/>
        </w:trPr>
        <w:tc>
          <w:tcPr>
            <w:tcW w:w="2071" w:type="dxa"/>
            <w:gridSpan w:val="2"/>
            <w:noWrap w:val="0"/>
            <w:vAlign w:val="center"/>
          </w:tcPr>
          <w:p w14:paraId="42838AD3">
            <w:pPr>
              <w:jc w:val="center"/>
              <w:rPr>
                <w:rFonts w:hint="eastAsia" w:ascii="仿宋_GB2312" w:hAnsi="宋体" w:eastAsia="仿宋_GB2312"/>
                <w:b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 w:val="30"/>
                <w:szCs w:val="30"/>
              </w:rPr>
              <w:t>联  系  人</w:t>
            </w:r>
          </w:p>
        </w:tc>
        <w:tc>
          <w:tcPr>
            <w:tcW w:w="2982" w:type="dxa"/>
            <w:gridSpan w:val="2"/>
            <w:noWrap w:val="0"/>
            <w:vAlign w:val="center"/>
          </w:tcPr>
          <w:p w14:paraId="198435FA">
            <w:pPr>
              <w:rPr>
                <w:rFonts w:hint="eastAsia" w:ascii="仿宋_GB2312" w:eastAsia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color w:val="000000"/>
                <w:sz w:val="30"/>
                <w:szCs w:val="30"/>
              </w:rPr>
              <w:t xml:space="preserve">  </w:t>
            </w:r>
          </w:p>
        </w:tc>
        <w:tc>
          <w:tcPr>
            <w:tcW w:w="2368" w:type="dxa"/>
            <w:gridSpan w:val="2"/>
            <w:noWrap w:val="0"/>
            <w:vAlign w:val="center"/>
          </w:tcPr>
          <w:p w14:paraId="69835779">
            <w:pPr>
              <w:jc w:val="center"/>
              <w:rPr>
                <w:rFonts w:hint="eastAsia" w:ascii="仿宋_GB2312" w:eastAsia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 w:val="30"/>
                <w:szCs w:val="30"/>
              </w:rPr>
              <w:t>联系电话</w:t>
            </w:r>
          </w:p>
        </w:tc>
        <w:tc>
          <w:tcPr>
            <w:tcW w:w="2143" w:type="dxa"/>
            <w:gridSpan w:val="3"/>
            <w:noWrap w:val="0"/>
            <w:vAlign w:val="center"/>
          </w:tcPr>
          <w:p w14:paraId="7C0E534D">
            <w:pPr>
              <w:widowControl/>
              <w:spacing w:line="490" w:lineRule="exact"/>
              <w:jc w:val="center"/>
              <w:rPr>
                <w:rFonts w:hint="eastAsia" w:ascii="仿宋_GB2312" w:hAnsi="宋体" w:eastAsia="仿宋_GB2312"/>
                <w:color w:val="000000"/>
                <w:sz w:val="30"/>
                <w:szCs w:val="30"/>
              </w:rPr>
            </w:pPr>
          </w:p>
        </w:tc>
      </w:tr>
      <w:tr w14:paraId="7066F8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9" w:hRule="atLeast"/>
          <w:jc w:val="center"/>
        </w:trPr>
        <w:tc>
          <w:tcPr>
            <w:tcW w:w="2071" w:type="dxa"/>
            <w:gridSpan w:val="2"/>
            <w:noWrap w:val="0"/>
            <w:vAlign w:val="center"/>
          </w:tcPr>
          <w:p w14:paraId="68576464">
            <w:pPr>
              <w:jc w:val="center"/>
              <w:rPr>
                <w:rFonts w:hint="eastAsia" w:ascii="仿宋_GB2312" w:hAnsi="宋体" w:eastAsia="仿宋_GB2312"/>
                <w:b/>
                <w:color w:val="00000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 w:val="30"/>
                <w:szCs w:val="30"/>
              </w:rPr>
              <w:t>单位简介</w:t>
            </w:r>
            <w:r>
              <w:rPr>
                <w:rFonts w:hint="eastAsia" w:ascii="仿宋_GB2312" w:hAnsi="宋体" w:eastAsia="仿宋_GB2312"/>
                <w:b w:val="0"/>
                <w:bCs/>
                <w:color w:val="000000"/>
                <w:sz w:val="24"/>
                <w:szCs w:val="24"/>
                <w:lang w:eastAsia="zh-CN"/>
              </w:rPr>
              <w:t>（需明确是否具备对应资质要求）</w:t>
            </w:r>
          </w:p>
        </w:tc>
        <w:tc>
          <w:tcPr>
            <w:tcW w:w="7493" w:type="dxa"/>
            <w:gridSpan w:val="7"/>
            <w:noWrap w:val="0"/>
            <w:vAlign w:val="center"/>
          </w:tcPr>
          <w:p w14:paraId="2406D76B">
            <w:pPr>
              <w:widowControl/>
              <w:spacing w:line="490" w:lineRule="exact"/>
              <w:jc w:val="center"/>
              <w:rPr>
                <w:rFonts w:hint="eastAsia" w:ascii="仿宋_GB2312" w:eastAsia="仿宋_GB2312"/>
                <w:color w:val="000000"/>
                <w:sz w:val="30"/>
                <w:szCs w:val="30"/>
              </w:rPr>
            </w:pPr>
          </w:p>
        </w:tc>
      </w:tr>
      <w:tr w14:paraId="3F77B2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5" w:hRule="atLeast"/>
          <w:jc w:val="center"/>
        </w:trPr>
        <w:tc>
          <w:tcPr>
            <w:tcW w:w="762" w:type="dxa"/>
            <w:noWrap w:val="0"/>
            <w:vAlign w:val="center"/>
          </w:tcPr>
          <w:p w14:paraId="57148B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30"/>
                <w:szCs w:val="30"/>
              </w:rPr>
              <w:t>项目名称</w:t>
            </w:r>
          </w:p>
        </w:tc>
        <w:tc>
          <w:tcPr>
            <w:tcW w:w="8802" w:type="dxa"/>
            <w:gridSpan w:val="8"/>
            <w:noWrap w:val="0"/>
            <w:vAlign w:val="center"/>
          </w:tcPr>
          <w:p w14:paraId="530ACA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宋体" w:eastAsia="仿宋_GB2312"/>
                <w:color w:val="00000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z w:val="30"/>
                <w:szCs w:val="30"/>
                <w:lang w:val="en-US" w:eastAsia="zh-CN"/>
              </w:rPr>
              <w:t>2026年度</w:t>
            </w:r>
            <w:r>
              <w:rPr>
                <w:rFonts w:hint="eastAsia" w:ascii="仿宋_GB2312" w:hAnsi="宋体" w:eastAsia="仿宋_GB2312"/>
                <w:b/>
                <w:bCs/>
                <w:color w:val="000000"/>
                <w:sz w:val="30"/>
                <w:szCs w:val="30"/>
                <w:lang w:eastAsia="zh-CN"/>
              </w:rPr>
              <w:t>矿山开采监管、矿山地质环境治理恢复GNSS巡查市级复核</w:t>
            </w:r>
          </w:p>
        </w:tc>
      </w:tr>
      <w:tr w14:paraId="4F9810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3" w:hRule="atLeast"/>
          <w:jc w:val="center"/>
        </w:trPr>
        <w:tc>
          <w:tcPr>
            <w:tcW w:w="762" w:type="dxa"/>
            <w:vMerge w:val="restart"/>
            <w:noWrap w:val="0"/>
            <w:vAlign w:val="center"/>
          </w:tcPr>
          <w:p w14:paraId="0158AF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 w:val="30"/>
                <w:szCs w:val="30"/>
              </w:rPr>
              <w:t>主要工作内容</w:t>
            </w:r>
          </w:p>
        </w:tc>
        <w:tc>
          <w:tcPr>
            <w:tcW w:w="6075" w:type="dxa"/>
            <w:gridSpan w:val="4"/>
            <w:noWrap w:val="0"/>
            <w:vAlign w:val="center"/>
          </w:tcPr>
          <w:p w14:paraId="1B008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 w:val="30"/>
                <w:szCs w:val="30"/>
              </w:rPr>
              <w:t>工作内容及说明</w:t>
            </w:r>
          </w:p>
        </w:tc>
        <w:tc>
          <w:tcPr>
            <w:tcW w:w="913" w:type="dxa"/>
            <w:gridSpan w:val="2"/>
            <w:noWrap w:val="0"/>
            <w:vAlign w:val="center"/>
          </w:tcPr>
          <w:p w14:paraId="43D34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 w:val="30"/>
                <w:szCs w:val="30"/>
              </w:rPr>
              <w:t>矿山个数</w:t>
            </w:r>
          </w:p>
        </w:tc>
        <w:tc>
          <w:tcPr>
            <w:tcW w:w="1814" w:type="dxa"/>
            <w:gridSpan w:val="2"/>
            <w:noWrap w:val="0"/>
            <w:vAlign w:val="center"/>
          </w:tcPr>
          <w:p w14:paraId="06612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/>
                <w:b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 w:val="30"/>
                <w:szCs w:val="30"/>
              </w:rPr>
              <w:t>报价</w:t>
            </w:r>
          </w:p>
        </w:tc>
      </w:tr>
      <w:tr w14:paraId="56D91F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7" w:hRule="atLeast"/>
          <w:jc w:val="center"/>
        </w:trPr>
        <w:tc>
          <w:tcPr>
            <w:tcW w:w="762" w:type="dxa"/>
            <w:vMerge w:val="continue"/>
            <w:noWrap w:val="0"/>
            <w:vAlign w:val="center"/>
          </w:tcPr>
          <w:p w14:paraId="6AE050B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352" w:type="dxa"/>
            <w:gridSpan w:val="2"/>
            <w:noWrap w:val="0"/>
            <w:vAlign w:val="center"/>
          </w:tcPr>
          <w:p w14:paraId="7CF79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b/>
                <w:color w:val="00000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矿山开采监管GNSS巡查市级复核</w:t>
            </w:r>
          </w:p>
        </w:tc>
        <w:tc>
          <w:tcPr>
            <w:tcW w:w="4723" w:type="dxa"/>
            <w:gridSpan w:val="2"/>
            <w:noWrap w:val="0"/>
            <w:vAlign w:val="center"/>
          </w:tcPr>
          <w:p w14:paraId="5FFF2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仿宋_GB2312" w:eastAsia="仿宋_GB2312"/>
                <w:b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①实地核查工作，重点对照：a.是否有无证开采、越界开采等违法行为，b.矿业权出让收益及占用费缴纳、标识牌设立、开发利用方案执行情况，c.监督开采信息公示、开发利用统计、“三率”指标达标及采矿权出让合同义务履行情况，d.审查矿产资源储量统计、矿山年报（表格、图件）、“一账三图”情况。②平台填报：实地核查工作完成后，通过监管平台填报核查情况。③报告编制：编制《2026年度三明市矿产资源开采监管工作成果报告》。④将发现的问题报告市局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反馈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给县级，技术指导矿业权人整改。</w:t>
            </w:r>
          </w:p>
        </w:tc>
        <w:tc>
          <w:tcPr>
            <w:tcW w:w="913" w:type="dxa"/>
            <w:gridSpan w:val="2"/>
            <w:noWrap w:val="0"/>
            <w:vAlign w:val="center"/>
          </w:tcPr>
          <w:p w14:paraId="0771715D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>约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  <w:lang w:val="en-US" w:eastAsia="zh-CN"/>
              </w:rPr>
              <w:t>13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>个</w:t>
            </w:r>
          </w:p>
        </w:tc>
        <w:tc>
          <w:tcPr>
            <w:tcW w:w="1814" w:type="dxa"/>
            <w:gridSpan w:val="2"/>
            <w:noWrap w:val="0"/>
            <w:vAlign w:val="center"/>
          </w:tcPr>
          <w:p w14:paraId="23490AD5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  <w:u w:val="single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>元/个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  <w:lang w:val="en-US" w:eastAsia="zh-CN"/>
              </w:rPr>
              <w:t>矿山</w:t>
            </w:r>
          </w:p>
        </w:tc>
      </w:tr>
      <w:tr w14:paraId="47CEA3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8" w:type="dxa"/>
          <w:cantSplit/>
          <w:trHeight w:val="620" w:hRule="atLeast"/>
          <w:jc w:val="center"/>
        </w:trPr>
        <w:tc>
          <w:tcPr>
            <w:tcW w:w="762" w:type="dxa"/>
            <w:noWrap w:val="0"/>
            <w:vAlign w:val="center"/>
          </w:tcPr>
          <w:p w14:paraId="139139EC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z w:val="30"/>
                <w:szCs w:val="30"/>
              </w:rPr>
              <w:br w:type="page"/>
            </w:r>
            <w:r>
              <w:rPr>
                <w:rFonts w:hint="eastAsia" w:ascii="仿宋_GB2312" w:hAnsi="宋体" w:eastAsia="仿宋_GB2312"/>
                <w:b/>
                <w:color w:val="000000"/>
                <w:sz w:val="30"/>
                <w:szCs w:val="30"/>
              </w:rPr>
              <w:t>主要工作内容</w:t>
            </w:r>
          </w:p>
        </w:tc>
        <w:tc>
          <w:tcPr>
            <w:tcW w:w="1352" w:type="dxa"/>
            <w:gridSpan w:val="2"/>
            <w:noWrap w:val="0"/>
            <w:vAlign w:val="center"/>
          </w:tcPr>
          <w:p w14:paraId="0449F3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  <w:lang w:eastAsia="zh-CN"/>
              </w:rPr>
              <w:t>矿山地质环境治理恢复GNSS巡查市级复核</w:t>
            </w:r>
          </w:p>
        </w:tc>
        <w:tc>
          <w:tcPr>
            <w:tcW w:w="4723" w:type="dxa"/>
            <w:gridSpan w:val="2"/>
            <w:noWrap w:val="0"/>
            <w:vAlign w:val="center"/>
          </w:tcPr>
          <w:p w14:paraId="26F30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①实地核查工作，重点对照：a.矿山地质环境保护与土地复垦方案编报与备案情况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b.方案实施与验收情况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c.治理恢复基金制度落实情况三个方面共34条任务清单开展核查。②平台上传：实地核查工作完成后，应填写《矿山地质环境治理恢复情况实地核查记录表》，并通过监管平台上传。③县级核查结果审核：监管平台上对县级上报的核查情况进行100%市级审核。④报告编制：编制《2026年度三明市矿山地质环境治理恢复巡查工作总结报告》。⑤指导整改：将发现的问题报告市局并</w:t>
            </w:r>
            <w:bookmarkStart w:id="0" w:name="_GoBack"/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反馈</w:t>
            </w:r>
            <w:bookmarkEnd w:id="0"/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给县级，技术指导县级制定整改方案。</w:t>
            </w:r>
          </w:p>
        </w:tc>
        <w:tc>
          <w:tcPr>
            <w:tcW w:w="913" w:type="dxa"/>
            <w:gridSpan w:val="2"/>
            <w:noWrap w:val="0"/>
            <w:vAlign w:val="center"/>
          </w:tcPr>
          <w:p w14:paraId="1596E347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>约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  <w:lang w:val="en-US" w:eastAsia="zh-CN"/>
              </w:rPr>
              <w:t>12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>个</w:t>
            </w:r>
          </w:p>
        </w:tc>
        <w:tc>
          <w:tcPr>
            <w:tcW w:w="1376" w:type="dxa"/>
            <w:noWrap w:val="0"/>
            <w:vAlign w:val="center"/>
          </w:tcPr>
          <w:p w14:paraId="04F8FBD5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  <w:u w:val="single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>元/个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  <w:lang w:val="en-US" w:eastAsia="zh-CN"/>
              </w:rPr>
              <w:t>矿山</w:t>
            </w:r>
          </w:p>
        </w:tc>
      </w:tr>
      <w:tr w14:paraId="708C43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8" w:type="dxa"/>
          <w:cantSplit/>
          <w:trHeight w:val="4692" w:hRule="atLeast"/>
          <w:jc w:val="center"/>
        </w:trPr>
        <w:tc>
          <w:tcPr>
            <w:tcW w:w="762" w:type="dxa"/>
            <w:noWrap w:val="0"/>
            <w:vAlign w:val="center"/>
          </w:tcPr>
          <w:p w14:paraId="0EA69F5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 w:val="30"/>
                <w:szCs w:val="30"/>
              </w:rPr>
              <w:t>主要工作内容</w:t>
            </w:r>
          </w:p>
        </w:tc>
        <w:tc>
          <w:tcPr>
            <w:tcW w:w="1352" w:type="dxa"/>
            <w:gridSpan w:val="2"/>
            <w:noWrap w:val="0"/>
            <w:vAlign w:val="center"/>
          </w:tcPr>
          <w:p w14:paraId="5B8B01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  <w:lang w:eastAsia="zh-CN"/>
              </w:rPr>
              <w:t>矿山开采监管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  <w:lang w:val="en-US" w:eastAsia="zh-CN"/>
              </w:rPr>
              <w:t>和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>矿山地质环境治理恢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  <w:lang w:eastAsia="zh-CN"/>
              </w:rPr>
              <w:t>复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>GNSS巡查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市级复核</w:t>
            </w:r>
          </w:p>
        </w:tc>
        <w:tc>
          <w:tcPr>
            <w:tcW w:w="4723" w:type="dxa"/>
            <w:gridSpan w:val="2"/>
            <w:noWrap w:val="0"/>
            <w:vAlign w:val="center"/>
          </w:tcPr>
          <w:p w14:paraId="550FF5A8">
            <w:pPr>
              <w:spacing w:line="44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同步开展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8"/>
                <w:szCs w:val="28"/>
                <w:lang w:eastAsia="zh-CN"/>
              </w:rPr>
              <w:t>以上两项工作内容。</w:t>
            </w:r>
          </w:p>
        </w:tc>
        <w:tc>
          <w:tcPr>
            <w:tcW w:w="913" w:type="dxa"/>
            <w:gridSpan w:val="2"/>
            <w:noWrap w:val="0"/>
            <w:vAlign w:val="center"/>
          </w:tcPr>
          <w:p w14:paraId="17EEA759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  <w:lang w:eastAsia="zh-CN"/>
              </w:rPr>
              <w:t>约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  <w:lang w:val="en-US" w:eastAsia="zh-CN"/>
              </w:rPr>
              <w:t>20个</w:t>
            </w:r>
          </w:p>
        </w:tc>
        <w:tc>
          <w:tcPr>
            <w:tcW w:w="1376" w:type="dxa"/>
            <w:noWrap w:val="0"/>
            <w:vAlign w:val="center"/>
          </w:tcPr>
          <w:p w14:paraId="452B139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  <w:u w:val="single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>元/个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  <w:lang w:val="en-US" w:eastAsia="zh-CN"/>
              </w:rPr>
              <w:t>矿山</w:t>
            </w:r>
          </w:p>
        </w:tc>
      </w:tr>
      <w:tr w14:paraId="68B81F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8" w:type="dxa"/>
          <w:cantSplit/>
          <w:trHeight w:val="882" w:hRule="atLeast"/>
          <w:jc w:val="center"/>
        </w:trPr>
        <w:tc>
          <w:tcPr>
            <w:tcW w:w="2114" w:type="dxa"/>
            <w:gridSpan w:val="3"/>
            <w:noWrap w:val="0"/>
            <w:vAlign w:val="center"/>
          </w:tcPr>
          <w:p w14:paraId="6ED89328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 w:val="30"/>
                <w:szCs w:val="30"/>
                <w:lang w:eastAsia="zh-CN"/>
              </w:rPr>
              <w:t>合计（总报价）</w:t>
            </w:r>
          </w:p>
        </w:tc>
        <w:tc>
          <w:tcPr>
            <w:tcW w:w="4723" w:type="dxa"/>
            <w:gridSpan w:val="2"/>
            <w:noWrap w:val="0"/>
            <w:vAlign w:val="center"/>
          </w:tcPr>
          <w:p w14:paraId="4B9BDDC6">
            <w:pPr>
              <w:spacing w:line="440" w:lineRule="exact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  <w:lang w:val="en-US" w:eastAsia="zh-CN"/>
              </w:rPr>
            </w:pPr>
          </w:p>
        </w:tc>
        <w:tc>
          <w:tcPr>
            <w:tcW w:w="2289" w:type="dxa"/>
            <w:gridSpan w:val="3"/>
            <w:noWrap w:val="0"/>
            <w:vAlign w:val="center"/>
          </w:tcPr>
          <w:p w14:paraId="611E8DB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  <w:u w:val="singl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  <w:u w:val="single"/>
                <w:lang w:eastAsia="zh-CN"/>
              </w:rPr>
              <w:t>　　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  <w:u w:val="single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0"/>
                <w:szCs w:val="30"/>
              </w:rPr>
              <w:t>元</w:t>
            </w:r>
          </w:p>
        </w:tc>
      </w:tr>
    </w:tbl>
    <w:p w14:paraId="18044245">
      <w:pPr>
        <w:spacing w:line="440" w:lineRule="exact"/>
        <w:rPr>
          <w:rFonts w:hint="default" w:ascii="仿宋_GB2312" w:hAnsi="宋体" w:eastAsia="仿宋_GB2312" w:cs="宋体"/>
          <w:color w:val="000000"/>
          <w:kern w:val="0"/>
          <w:sz w:val="30"/>
          <w:szCs w:val="30"/>
          <w:lang w:val="en-US" w:eastAsia="zh-CN"/>
        </w:rPr>
      </w:pPr>
    </w:p>
    <w:p w14:paraId="21F7C711"/>
    <w:sectPr>
      <w:pgSz w:w="11906" w:h="16838"/>
      <w:pgMar w:top="1361" w:right="1304" w:bottom="1361" w:left="130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41B80C87-40D4-4B8D-9792-C67E9A622F5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58C0EC8A-DA49-40FD-A8FE-BC3B72D5E88A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B37A9F85-2C0C-4E08-9709-C831A3108EA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7665BD"/>
    <w:rsid w:val="19766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unhideWhenUsed/>
    <w:qFormat/>
    <w:uiPriority w:val="99"/>
    <w:rPr>
      <w:sz w:val="18"/>
      <w:szCs w:val="18"/>
    </w:rPr>
  </w:style>
  <w:style w:type="paragraph" w:customStyle="1" w:styleId="5">
    <w:name w:val="段"/>
    <w:next w:val="1"/>
    <w:uiPriority w:val="0"/>
    <w:pPr>
      <w:autoSpaceDE w:val="0"/>
      <w:autoSpaceDN w:val="0"/>
      <w:ind w:firstLine="200" w:firstLineChars="200"/>
      <w:jc w:val="both"/>
    </w:pPr>
    <w:rPr>
      <w:rFonts w:ascii="宋体" w:hAnsi="Calibri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2026-08-26T10:11:00Z</dcterms:created>
  <dc:creator>刘腾讯</dc:creator>
  <cp:lastModifiedBy>刘腾讯</cp:lastModifiedBy>
  <dcterms:modified xsi:type="dcterms:W3CDTF">2026-08-26T10:11:41Z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953715EE10B7424DB497A23846341FBA_11</vt:lpwstr>
  </property>
  <property fmtid="{D5CDD505-2E9C-101B-9397-08002B2CF9AE}" pid="4" name="KSOTemplateDocerSaveRecord">
    <vt:lpwstr>eyJoZGlkIjoiMWEzZDMzMTczNjUyZDQ0ZjYxOWVhYmFmZTE2ODdhZWQiLCJ1c2VySWQiOiIyMDE2MTk0NjUifQ==</vt:lpwstr>
  </property>
</Properties>
</file>