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val="0"/>
        <w:snapToGrid w:val="0"/>
        <w:spacing w:line="600" w:lineRule="exact"/>
        <w:jc w:val="center"/>
        <w:textAlignment w:val="baseline"/>
        <w:rPr>
          <w:rFonts w:hint="default" w:ascii="方正小标宋简体" w:hAnsi="方正小标宋简体" w:eastAsia="方正小标宋简体" w:cs="方正小标宋简体"/>
          <w:color w:val="auto"/>
          <w:spacing w:val="-6"/>
          <w:sz w:val="40"/>
          <w:szCs w:val="40"/>
          <w:highlight w:val="none"/>
          <w:u w:val="none"/>
          <w:lang w:val="en-US" w:eastAsia="zh-CN"/>
        </w:rPr>
      </w:pPr>
      <w:r>
        <w:rPr>
          <w:rFonts w:hint="eastAsia" w:ascii="方正小标宋简体" w:hAnsi="方正小标宋简体" w:eastAsia="方正小标宋简体" w:cs="方正小标宋简体"/>
          <w:color w:val="auto"/>
          <w:spacing w:val="-6"/>
          <w:sz w:val="40"/>
          <w:szCs w:val="40"/>
          <w:highlight w:val="none"/>
          <w:u w:val="none"/>
          <w:lang w:val="en-US" w:eastAsia="zh-CN"/>
        </w:rPr>
        <w:t xml:space="preserve"> </w:t>
      </w:r>
    </w:p>
    <w:p>
      <w:pPr>
        <w:keepNext w:val="0"/>
        <w:keepLines w:val="0"/>
        <w:pageBreakBefore w:val="0"/>
        <w:widowControl w:val="0"/>
        <w:kinsoku/>
        <w:wordWrap/>
        <w:overflowPunct/>
        <w:topLinePunct w:val="0"/>
        <w:autoSpaceDE w:val="0"/>
        <w:autoSpaceDN w:val="0"/>
        <w:bidi w:val="0"/>
        <w:adjustRightInd w:val="0"/>
        <w:snapToGrid w:val="0"/>
        <w:spacing w:line="600" w:lineRule="exact"/>
        <w:jc w:val="center"/>
        <w:textAlignment w:val="baseline"/>
        <w:rPr>
          <w:rFonts w:hint="eastAsia" w:ascii="方正小标宋简体" w:hAnsi="方正小标宋简体" w:eastAsia="方正小标宋简体" w:cs="方正小标宋简体"/>
          <w:color w:val="auto"/>
          <w:spacing w:val="-6"/>
          <w:sz w:val="40"/>
          <w:szCs w:val="40"/>
          <w:highlight w:val="none"/>
          <w:u w:val="none"/>
          <w:lang w:eastAsia="zh-CN"/>
        </w:rPr>
      </w:pPr>
    </w:p>
    <w:p>
      <w:pPr>
        <w:keepNext w:val="0"/>
        <w:keepLines w:val="0"/>
        <w:pageBreakBefore w:val="0"/>
        <w:widowControl w:val="0"/>
        <w:kinsoku/>
        <w:wordWrap/>
        <w:overflowPunct/>
        <w:topLinePunct w:val="0"/>
        <w:autoSpaceDE w:val="0"/>
        <w:autoSpaceDN w:val="0"/>
        <w:bidi w:val="0"/>
        <w:adjustRightInd w:val="0"/>
        <w:snapToGrid w:val="0"/>
        <w:spacing w:line="600" w:lineRule="exact"/>
        <w:jc w:val="center"/>
        <w:textAlignment w:val="baseline"/>
        <w:rPr>
          <w:rFonts w:hint="eastAsia" w:ascii="方正小标宋简体" w:hAnsi="方正小标宋简体" w:eastAsia="方正小标宋简体" w:cs="方正小标宋简体"/>
          <w:color w:val="auto"/>
          <w:spacing w:val="-6"/>
          <w:sz w:val="40"/>
          <w:szCs w:val="40"/>
          <w:highlight w:val="none"/>
          <w:u w:val="none"/>
          <w:lang w:eastAsia="zh-CN"/>
        </w:rPr>
      </w:pPr>
    </w:p>
    <w:p>
      <w:pPr>
        <w:keepNext w:val="0"/>
        <w:keepLines w:val="0"/>
        <w:pageBreakBefore w:val="0"/>
        <w:widowControl w:val="0"/>
        <w:kinsoku/>
        <w:wordWrap/>
        <w:overflowPunct/>
        <w:topLinePunct w:val="0"/>
        <w:autoSpaceDE w:val="0"/>
        <w:autoSpaceDN w:val="0"/>
        <w:bidi w:val="0"/>
        <w:adjustRightInd w:val="0"/>
        <w:snapToGrid w:val="0"/>
        <w:spacing w:line="600" w:lineRule="exact"/>
        <w:jc w:val="center"/>
        <w:textAlignment w:val="baseline"/>
        <w:rPr>
          <w:rFonts w:hint="eastAsia" w:ascii="方正小标宋简体" w:hAnsi="方正小标宋简体" w:eastAsia="方正小标宋简体" w:cs="方正小标宋简体"/>
          <w:color w:val="auto"/>
          <w:spacing w:val="-6"/>
          <w:sz w:val="40"/>
          <w:szCs w:val="40"/>
          <w:highlight w:val="none"/>
          <w:u w:val="none"/>
          <w:lang w:eastAsia="zh-CN"/>
        </w:rPr>
      </w:pPr>
    </w:p>
    <w:p>
      <w:pPr>
        <w:keepNext w:val="0"/>
        <w:keepLines w:val="0"/>
        <w:pageBreakBefore w:val="0"/>
        <w:widowControl w:val="0"/>
        <w:kinsoku/>
        <w:wordWrap/>
        <w:overflowPunct/>
        <w:topLinePunct w:val="0"/>
        <w:autoSpaceDE w:val="0"/>
        <w:autoSpaceDN w:val="0"/>
        <w:bidi w:val="0"/>
        <w:adjustRightInd w:val="0"/>
        <w:snapToGrid w:val="0"/>
        <w:spacing w:line="600" w:lineRule="exact"/>
        <w:jc w:val="center"/>
        <w:textAlignment w:val="baseline"/>
        <w:rPr>
          <w:rFonts w:hint="eastAsia" w:ascii="方正小标宋简体" w:hAnsi="方正小标宋简体" w:eastAsia="方正小标宋简体" w:cs="方正小标宋简体"/>
          <w:color w:val="auto"/>
          <w:spacing w:val="-6"/>
          <w:sz w:val="40"/>
          <w:szCs w:val="40"/>
          <w:highlight w:val="none"/>
          <w:u w:val="none"/>
          <w:lang w:eastAsia="zh-CN"/>
        </w:rPr>
      </w:pPr>
    </w:p>
    <w:p>
      <w:pPr>
        <w:keepNext w:val="0"/>
        <w:keepLines w:val="0"/>
        <w:pageBreakBefore w:val="0"/>
        <w:widowControl w:val="0"/>
        <w:kinsoku/>
        <w:wordWrap/>
        <w:overflowPunct/>
        <w:topLinePunct w:val="0"/>
        <w:autoSpaceDE w:val="0"/>
        <w:autoSpaceDN w:val="0"/>
        <w:bidi w:val="0"/>
        <w:adjustRightInd w:val="0"/>
        <w:snapToGrid w:val="0"/>
        <w:spacing w:line="600" w:lineRule="exact"/>
        <w:jc w:val="center"/>
        <w:textAlignment w:val="baseline"/>
        <w:rPr>
          <w:rFonts w:hint="eastAsia" w:ascii="黑体" w:hAnsi="黑体" w:eastAsia="黑体" w:cs="黑体"/>
          <w:color w:val="auto"/>
          <w:spacing w:val="-6"/>
          <w:sz w:val="48"/>
          <w:szCs w:val="48"/>
          <w:highlight w:val="none"/>
          <w:u w:val="none"/>
          <w:lang w:eastAsia="zh-CN"/>
        </w:rPr>
      </w:pPr>
      <w:r>
        <w:rPr>
          <w:rFonts w:hint="eastAsia" w:ascii="黑体" w:hAnsi="黑体" w:eastAsia="黑体" w:cs="黑体"/>
          <w:color w:val="auto"/>
          <w:spacing w:val="-6"/>
          <w:sz w:val="48"/>
          <w:szCs w:val="48"/>
          <w:highlight w:val="none"/>
          <w:u w:val="none"/>
          <w:lang w:eastAsia="zh-CN"/>
        </w:rPr>
        <w:t>三明市“十五五”自然资源</w:t>
      </w:r>
    </w:p>
    <w:p>
      <w:pPr>
        <w:keepNext w:val="0"/>
        <w:keepLines w:val="0"/>
        <w:pageBreakBefore w:val="0"/>
        <w:widowControl w:val="0"/>
        <w:kinsoku/>
        <w:wordWrap/>
        <w:overflowPunct/>
        <w:topLinePunct w:val="0"/>
        <w:autoSpaceDE w:val="0"/>
        <w:autoSpaceDN w:val="0"/>
        <w:bidi w:val="0"/>
        <w:adjustRightInd w:val="0"/>
        <w:snapToGrid w:val="0"/>
        <w:spacing w:line="600" w:lineRule="exact"/>
        <w:jc w:val="center"/>
        <w:textAlignment w:val="baseline"/>
        <w:rPr>
          <w:rFonts w:hint="eastAsia" w:ascii="黑体" w:hAnsi="黑体" w:eastAsia="黑体" w:cs="黑体"/>
          <w:color w:val="auto"/>
          <w:spacing w:val="-6"/>
          <w:sz w:val="48"/>
          <w:szCs w:val="48"/>
          <w:highlight w:val="none"/>
          <w:u w:val="none"/>
          <w:lang w:eastAsia="zh-CN"/>
        </w:rPr>
      </w:pPr>
      <w:r>
        <w:rPr>
          <w:rFonts w:hint="eastAsia" w:ascii="黑体" w:hAnsi="黑体" w:eastAsia="黑体" w:cs="黑体"/>
          <w:color w:val="auto"/>
          <w:spacing w:val="-6"/>
          <w:sz w:val="48"/>
          <w:szCs w:val="48"/>
          <w:highlight w:val="none"/>
          <w:u w:val="none"/>
          <w:lang w:eastAsia="zh-CN"/>
        </w:rPr>
        <w:t>保护利用专项规划</w:t>
      </w:r>
    </w:p>
    <w:p>
      <w:pPr>
        <w:keepNext w:val="0"/>
        <w:keepLines w:val="0"/>
        <w:pageBreakBefore w:val="0"/>
        <w:widowControl w:val="0"/>
        <w:kinsoku/>
        <w:wordWrap/>
        <w:overflowPunct/>
        <w:topLinePunct w:val="0"/>
        <w:autoSpaceDE w:val="0"/>
        <w:autoSpaceDN w:val="0"/>
        <w:bidi w:val="0"/>
        <w:adjustRightInd w:val="0"/>
        <w:snapToGrid w:val="0"/>
        <w:spacing w:line="600" w:lineRule="exact"/>
        <w:jc w:val="center"/>
        <w:textAlignment w:val="baseline"/>
        <w:rPr>
          <w:rFonts w:hint="eastAsia" w:ascii="黑体" w:hAnsi="黑体" w:eastAsia="黑体" w:cs="黑体"/>
          <w:color w:val="auto"/>
          <w:spacing w:val="-6"/>
          <w:sz w:val="48"/>
          <w:szCs w:val="48"/>
          <w:highlight w:val="none"/>
          <w:u w:val="none"/>
          <w:lang w:eastAsia="zh-CN"/>
        </w:rPr>
      </w:pPr>
    </w:p>
    <w:p>
      <w:pPr>
        <w:keepNext w:val="0"/>
        <w:keepLines w:val="0"/>
        <w:pageBreakBefore w:val="0"/>
        <w:widowControl w:val="0"/>
        <w:kinsoku/>
        <w:wordWrap/>
        <w:overflowPunct/>
        <w:topLinePunct w:val="0"/>
        <w:autoSpaceDE w:val="0"/>
        <w:autoSpaceDN w:val="0"/>
        <w:bidi w:val="0"/>
        <w:adjustRightInd w:val="0"/>
        <w:snapToGrid w:val="0"/>
        <w:spacing w:line="600" w:lineRule="exact"/>
        <w:jc w:val="center"/>
        <w:textAlignment w:val="baseline"/>
        <w:rPr>
          <w:rFonts w:hint="eastAsia" w:ascii="黑体" w:hAnsi="黑体" w:eastAsia="黑体" w:cs="黑体"/>
          <w:color w:val="auto"/>
          <w:spacing w:val="-6"/>
          <w:sz w:val="48"/>
          <w:szCs w:val="48"/>
          <w:highlight w:val="none"/>
          <w:u w:val="none"/>
          <w:lang w:eastAsia="zh-CN"/>
        </w:rPr>
      </w:pPr>
    </w:p>
    <w:p>
      <w:pPr>
        <w:keepNext w:val="0"/>
        <w:keepLines w:val="0"/>
        <w:pageBreakBefore w:val="0"/>
        <w:widowControl w:val="0"/>
        <w:kinsoku/>
        <w:wordWrap/>
        <w:overflowPunct/>
        <w:topLinePunct w:val="0"/>
        <w:autoSpaceDE w:val="0"/>
        <w:autoSpaceDN w:val="0"/>
        <w:bidi w:val="0"/>
        <w:adjustRightInd w:val="0"/>
        <w:snapToGrid w:val="0"/>
        <w:spacing w:line="600" w:lineRule="exact"/>
        <w:jc w:val="center"/>
        <w:textAlignment w:val="baseline"/>
        <w:rPr>
          <w:rFonts w:hint="eastAsia" w:ascii="黑体" w:hAnsi="黑体" w:eastAsia="黑体" w:cs="黑体"/>
          <w:color w:val="auto"/>
          <w:spacing w:val="-6"/>
          <w:sz w:val="48"/>
          <w:szCs w:val="48"/>
          <w:highlight w:val="none"/>
          <w:u w:val="none"/>
          <w:lang w:eastAsia="zh-CN"/>
        </w:rPr>
      </w:pPr>
    </w:p>
    <w:p>
      <w:pPr>
        <w:keepNext w:val="0"/>
        <w:keepLines w:val="0"/>
        <w:pageBreakBefore w:val="0"/>
        <w:widowControl w:val="0"/>
        <w:kinsoku/>
        <w:wordWrap/>
        <w:overflowPunct/>
        <w:topLinePunct w:val="0"/>
        <w:autoSpaceDE w:val="0"/>
        <w:autoSpaceDN w:val="0"/>
        <w:bidi w:val="0"/>
        <w:adjustRightInd w:val="0"/>
        <w:snapToGrid w:val="0"/>
        <w:spacing w:line="600" w:lineRule="exact"/>
        <w:jc w:val="center"/>
        <w:textAlignment w:val="baseline"/>
        <w:rPr>
          <w:rFonts w:hint="eastAsia" w:ascii="黑体" w:hAnsi="黑体" w:eastAsia="黑体" w:cs="黑体"/>
          <w:color w:val="auto"/>
          <w:spacing w:val="-6"/>
          <w:sz w:val="48"/>
          <w:szCs w:val="48"/>
          <w:highlight w:val="none"/>
          <w:u w:val="none"/>
          <w:lang w:eastAsia="zh-CN"/>
        </w:rPr>
      </w:pPr>
    </w:p>
    <w:p>
      <w:pPr>
        <w:keepNext w:val="0"/>
        <w:keepLines w:val="0"/>
        <w:pageBreakBefore w:val="0"/>
        <w:widowControl w:val="0"/>
        <w:kinsoku/>
        <w:wordWrap/>
        <w:overflowPunct/>
        <w:topLinePunct w:val="0"/>
        <w:autoSpaceDE w:val="0"/>
        <w:autoSpaceDN w:val="0"/>
        <w:bidi w:val="0"/>
        <w:adjustRightInd w:val="0"/>
        <w:snapToGrid w:val="0"/>
        <w:spacing w:line="600" w:lineRule="exact"/>
        <w:jc w:val="center"/>
        <w:textAlignment w:val="baseline"/>
        <w:rPr>
          <w:rFonts w:hint="eastAsia" w:ascii="黑体" w:hAnsi="黑体" w:eastAsia="黑体" w:cs="黑体"/>
          <w:color w:val="auto"/>
          <w:spacing w:val="-6"/>
          <w:sz w:val="48"/>
          <w:szCs w:val="48"/>
          <w:highlight w:val="none"/>
          <w:u w:val="none"/>
          <w:lang w:eastAsia="zh-CN"/>
        </w:rPr>
      </w:pPr>
    </w:p>
    <w:p>
      <w:pPr>
        <w:keepNext w:val="0"/>
        <w:keepLines w:val="0"/>
        <w:pageBreakBefore w:val="0"/>
        <w:widowControl w:val="0"/>
        <w:kinsoku/>
        <w:wordWrap/>
        <w:overflowPunct/>
        <w:topLinePunct w:val="0"/>
        <w:autoSpaceDE w:val="0"/>
        <w:autoSpaceDN w:val="0"/>
        <w:bidi w:val="0"/>
        <w:adjustRightInd w:val="0"/>
        <w:snapToGrid w:val="0"/>
        <w:spacing w:line="600" w:lineRule="exact"/>
        <w:jc w:val="center"/>
        <w:textAlignment w:val="baseline"/>
        <w:rPr>
          <w:rFonts w:hint="eastAsia" w:ascii="黑体" w:hAnsi="黑体" w:eastAsia="黑体" w:cs="黑体"/>
          <w:color w:val="auto"/>
          <w:spacing w:val="-6"/>
          <w:sz w:val="48"/>
          <w:szCs w:val="48"/>
          <w:highlight w:val="none"/>
          <w:u w:val="none"/>
          <w:lang w:eastAsia="zh-CN"/>
        </w:rPr>
      </w:pPr>
    </w:p>
    <w:p>
      <w:pPr>
        <w:keepNext w:val="0"/>
        <w:keepLines w:val="0"/>
        <w:pageBreakBefore w:val="0"/>
        <w:widowControl w:val="0"/>
        <w:kinsoku/>
        <w:wordWrap/>
        <w:overflowPunct/>
        <w:topLinePunct w:val="0"/>
        <w:autoSpaceDE w:val="0"/>
        <w:autoSpaceDN w:val="0"/>
        <w:bidi w:val="0"/>
        <w:adjustRightInd w:val="0"/>
        <w:snapToGrid w:val="0"/>
        <w:spacing w:line="600" w:lineRule="exact"/>
        <w:jc w:val="center"/>
        <w:textAlignment w:val="baseline"/>
        <w:rPr>
          <w:rFonts w:hint="eastAsia" w:ascii="黑体" w:hAnsi="黑体" w:eastAsia="黑体" w:cs="黑体"/>
          <w:color w:val="auto"/>
          <w:spacing w:val="-6"/>
          <w:sz w:val="48"/>
          <w:szCs w:val="48"/>
          <w:highlight w:val="none"/>
          <w:u w:val="none"/>
          <w:lang w:eastAsia="zh-CN"/>
        </w:rPr>
      </w:pPr>
    </w:p>
    <w:p>
      <w:pPr>
        <w:keepNext w:val="0"/>
        <w:keepLines w:val="0"/>
        <w:pageBreakBefore w:val="0"/>
        <w:widowControl w:val="0"/>
        <w:kinsoku/>
        <w:wordWrap/>
        <w:overflowPunct/>
        <w:topLinePunct w:val="0"/>
        <w:autoSpaceDE w:val="0"/>
        <w:autoSpaceDN w:val="0"/>
        <w:bidi w:val="0"/>
        <w:adjustRightInd w:val="0"/>
        <w:snapToGrid w:val="0"/>
        <w:spacing w:line="600" w:lineRule="exact"/>
        <w:jc w:val="center"/>
        <w:textAlignment w:val="baseline"/>
        <w:rPr>
          <w:rFonts w:hint="eastAsia" w:ascii="黑体" w:hAnsi="黑体" w:eastAsia="黑体" w:cs="黑体"/>
          <w:color w:val="auto"/>
          <w:spacing w:val="-6"/>
          <w:sz w:val="48"/>
          <w:szCs w:val="48"/>
          <w:highlight w:val="none"/>
          <w:u w:val="none"/>
          <w:lang w:eastAsia="zh-CN"/>
        </w:rPr>
      </w:pPr>
    </w:p>
    <w:p>
      <w:pPr>
        <w:keepNext w:val="0"/>
        <w:keepLines w:val="0"/>
        <w:pageBreakBefore w:val="0"/>
        <w:widowControl w:val="0"/>
        <w:kinsoku/>
        <w:wordWrap/>
        <w:overflowPunct/>
        <w:topLinePunct w:val="0"/>
        <w:autoSpaceDE w:val="0"/>
        <w:autoSpaceDN w:val="0"/>
        <w:bidi w:val="0"/>
        <w:adjustRightInd w:val="0"/>
        <w:snapToGrid w:val="0"/>
        <w:spacing w:line="600" w:lineRule="exact"/>
        <w:jc w:val="center"/>
        <w:textAlignment w:val="baseline"/>
        <w:rPr>
          <w:rFonts w:hint="eastAsia" w:ascii="黑体" w:hAnsi="黑体" w:eastAsia="黑体" w:cs="黑体"/>
          <w:color w:val="auto"/>
          <w:spacing w:val="-6"/>
          <w:sz w:val="48"/>
          <w:szCs w:val="48"/>
          <w:highlight w:val="none"/>
          <w:u w:val="none"/>
          <w:lang w:eastAsia="zh-CN"/>
        </w:rPr>
      </w:pPr>
    </w:p>
    <w:p>
      <w:pPr>
        <w:keepNext w:val="0"/>
        <w:keepLines w:val="0"/>
        <w:pageBreakBefore w:val="0"/>
        <w:widowControl w:val="0"/>
        <w:kinsoku/>
        <w:wordWrap/>
        <w:overflowPunct/>
        <w:topLinePunct w:val="0"/>
        <w:autoSpaceDE w:val="0"/>
        <w:autoSpaceDN w:val="0"/>
        <w:bidi w:val="0"/>
        <w:adjustRightInd w:val="0"/>
        <w:snapToGrid w:val="0"/>
        <w:spacing w:line="600" w:lineRule="exact"/>
        <w:jc w:val="center"/>
        <w:textAlignment w:val="baseline"/>
        <w:rPr>
          <w:rFonts w:hint="eastAsia" w:ascii="黑体" w:hAnsi="黑体" w:eastAsia="黑体" w:cs="黑体"/>
          <w:color w:val="auto"/>
          <w:spacing w:val="-6"/>
          <w:sz w:val="48"/>
          <w:szCs w:val="48"/>
          <w:highlight w:val="none"/>
          <w:u w:val="none"/>
          <w:lang w:eastAsia="zh-CN"/>
        </w:rPr>
      </w:pPr>
    </w:p>
    <w:p>
      <w:pPr>
        <w:keepNext w:val="0"/>
        <w:keepLines w:val="0"/>
        <w:pageBreakBefore w:val="0"/>
        <w:widowControl w:val="0"/>
        <w:kinsoku/>
        <w:wordWrap/>
        <w:overflowPunct/>
        <w:topLinePunct w:val="0"/>
        <w:autoSpaceDE w:val="0"/>
        <w:autoSpaceDN w:val="0"/>
        <w:bidi w:val="0"/>
        <w:adjustRightInd w:val="0"/>
        <w:snapToGrid w:val="0"/>
        <w:spacing w:line="600" w:lineRule="exact"/>
        <w:jc w:val="center"/>
        <w:textAlignment w:val="baseline"/>
        <w:rPr>
          <w:rFonts w:hint="eastAsia" w:ascii="仿宋_GB2312" w:hAnsi="仿宋_GB2312" w:eastAsia="仿宋_GB2312" w:cs="仿宋_GB2312"/>
          <w:b/>
          <w:bCs/>
          <w:color w:val="auto"/>
          <w:spacing w:val="-6"/>
          <w:sz w:val="32"/>
          <w:szCs w:val="32"/>
          <w:highlight w:val="none"/>
          <w:u w:val="none"/>
          <w:lang w:val="en-US" w:eastAsia="zh-CN"/>
        </w:rPr>
      </w:pPr>
      <w:r>
        <w:rPr>
          <w:rFonts w:hint="eastAsia" w:ascii="仿宋_GB2312" w:hAnsi="仿宋_GB2312" w:eastAsia="仿宋_GB2312" w:cs="仿宋_GB2312"/>
          <w:b/>
          <w:bCs/>
          <w:color w:val="auto"/>
          <w:spacing w:val="-6"/>
          <w:sz w:val="32"/>
          <w:szCs w:val="32"/>
          <w:highlight w:val="none"/>
          <w:u w:val="none"/>
          <w:lang w:eastAsia="zh-CN"/>
        </w:rPr>
        <w:t>三明市自然资源局</w:t>
      </w:r>
    </w:p>
    <w:p>
      <w:pPr>
        <w:keepNext w:val="0"/>
        <w:keepLines w:val="0"/>
        <w:pageBreakBefore w:val="0"/>
        <w:widowControl w:val="0"/>
        <w:kinsoku/>
        <w:wordWrap/>
        <w:overflowPunct/>
        <w:topLinePunct w:val="0"/>
        <w:autoSpaceDE w:val="0"/>
        <w:autoSpaceDN w:val="0"/>
        <w:bidi w:val="0"/>
        <w:adjustRightInd w:val="0"/>
        <w:snapToGrid w:val="0"/>
        <w:spacing w:line="600" w:lineRule="exact"/>
        <w:jc w:val="center"/>
        <w:textAlignment w:val="baseline"/>
        <w:rPr>
          <w:rFonts w:hint="eastAsia" w:ascii="仿宋_GB2312" w:hAnsi="仿宋_GB2312" w:eastAsia="仿宋_GB2312" w:cs="仿宋_GB2312"/>
          <w:b/>
          <w:bCs/>
          <w:color w:val="auto"/>
          <w:spacing w:val="-6"/>
          <w:sz w:val="32"/>
          <w:szCs w:val="32"/>
          <w:highlight w:val="none"/>
          <w:u w:val="none"/>
          <w:lang w:val="en-US" w:eastAsia="zh-CN"/>
        </w:rPr>
        <w:sectPr>
          <w:pgSz w:w="11906" w:h="16838"/>
          <w:pgMar w:top="1417" w:right="1531" w:bottom="1417" w:left="1531" w:header="851" w:footer="992" w:gutter="0"/>
          <w:pgNumType w:fmt="decimal"/>
          <w:cols w:space="720" w:num="1"/>
          <w:docGrid w:type="lines" w:linePitch="312" w:charSpace="0"/>
        </w:sectPr>
      </w:pPr>
      <w:r>
        <w:rPr>
          <w:rFonts w:hint="eastAsia" w:ascii="仿宋_GB2312" w:hAnsi="仿宋_GB2312" w:eastAsia="仿宋_GB2312" w:cs="仿宋_GB2312"/>
          <w:b/>
          <w:bCs/>
          <w:color w:val="auto"/>
          <w:spacing w:val="-6"/>
          <w:sz w:val="32"/>
          <w:szCs w:val="32"/>
          <w:highlight w:val="none"/>
          <w:u w:val="none"/>
          <w:lang w:val="en-US" w:eastAsia="zh-CN"/>
        </w:rPr>
        <w:t>二Ｏ二六年八月</w:t>
      </w:r>
    </w:p>
    <w:p>
      <w:pPr>
        <w:pStyle w:val="2"/>
        <w:keepNext w:val="0"/>
        <w:keepLines w:val="0"/>
        <w:pageBreakBefore w:val="0"/>
        <w:widowControl/>
        <w:kinsoku/>
        <w:wordWrap/>
        <w:overflowPunct/>
        <w:topLinePunct/>
        <w:autoSpaceDE w:val="0"/>
        <w:autoSpaceDN/>
        <w:bidi w:val="0"/>
        <w:adjustRightInd w:val="0"/>
        <w:snapToGrid w:val="0"/>
        <w:spacing w:line="600" w:lineRule="exact"/>
        <w:jc w:val="center"/>
        <w:textAlignment w:val="baseline"/>
        <w:rPr>
          <w:rFonts w:hint="eastAsia" w:ascii="方正小标宋简体" w:hAnsi="方正小标宋简体" w:eastAsia="方正小标宋简体" w:cs="方正小标宋简体"/>
          <w:color w:val="auto"/>
          <w:sz w:val="44"/>
          <w:szCs w:val="44"/>
          <w:highlight w:val="none"/>
          <w:u w:val="none"/>
        </w:rPr>
      </w:pPr>
      <w:bookmarkStart w:id="0" w:name="_Toc1280448507"/>
      <w:r>
        <w:rPr>
          <w:rFonts w:hint="eastAsia" w:ascii="方正小标宋简体" w:hAnsi="方正小标宋简体" w:eastAsia="方正小标宋简体" w:cs="方正小标宋简体"/>
          <w:color w:val="auto"/>
          <w:sz w:val="44"/>
          <w:szCs w:val="44"/>
          <w:highlight w:val="none"/>
          <w:u w:val="none"/>
        </w:rPr>
        <w:t>三明市“十五五”自然资源保护利用规划</w:t>
      </w:r>
    </w:p>
    <w:p>
      <w:pPr>
        <w:pStyle w:val="2"/>
        <w:keepNext w:val="0"/>
        <w:keepLines w:val="0"/>
        <w:pageBreakBefore w:val="0"/>
        <w:widowControl/>
        <w:kinsoku/>
        <w:wordWrap/>
        <w:overflowPunct/>
        <w:topLinePunct/>
        <w:autoSpaceDE w:val="0"/>
        <w:autoSpaceDN/>
        <w:bidi w:val="0"/>
        <w:adjustRightInd w:val="0"/>
        <w:snapToGrid w:val="0"/>
        <w:spacing w:line="600" w:lineRule="exact"/>
        <w:ind w:firstLine="640" w:firstLineChars="200"/>
        <w:textAlignment w:val="baseline"/>
        <w:rPr>
          <w:rFonts w:hint="eastAsia" w:ascii="仿宋_GB2312" w:hAnsi="仿宋_GB2312" w:eastAsia="仿宋_GB2312" w:cs="仿宋_GB2312"/>
          <w:color w:val="auto"/>
          <w:sz w:val="32"/>
          <w:szCs w:val="32"/>
          <w:highlight w:val="none"/>
          <w:u w:val="none"/>
        </w:rPr>
      </w:pPr>
    </w:p>
    <w:p>
      <w:pPr>
        <w:pStyle w:val="2"/>
        <w:keepNext w:val="0"/>
        <w:keepLines w:val="0"/>
        <w:pageBreakBefore w:val="0"/>
        <w:widowControl/>
        <w:kinsoku/>
        <w:wordWrap/>
        <w:overflowPunct/>
        <w:topLinePunct/>
        <w:autoSpaceDE w:val="0"/>
        <w:autoSpaceDN/>
        <w:bidi w:val="0"/>
        <w:adjustRightInd w:val="0"/>
        <w:snapToGrid w:val="0"/>
        <w:spacing w:line="600" w:lineRule="exact"/>
        <w:ind w:firstLine="640" w:firstLineChars="200"/>
        <w:textAlignment w:val="baseline"/>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“十五五”时期是推进新时代新福建建设和三明革命老区高质量发展示范区建设的重要阶段，为进一步全面提升自然资源保护利用水平，依据《三明市国民经济和社会发展第十五个五年规划纲要》</w:t>
      </w:r>
      <w:r>
        <w:rPr>
          <w:rFonts w:hint="eastAsia" w:ascii="仿宋_GB2312" w:hAnsi="仿宋_GB2312" w:eastAsia="仿宋_GB2312" w:cs="仿宋_GB2312"/>
          <w:color w:val="FF0000"/>
          <w:sz w:val="32"/>
          <w:szCs w:val="32"/>
          <w:highlight w:val="none"/>
          <w:u w:val="none"/>
        </w:rPr>
        <w:t>《福建省“十五五”自然资源保护利用规划》《三明市国土空间</w:t>
      </w:r>
      <w:r>
        <w:rPr>
          <w:rFonts w:hint="eastAsia" w:ascii="仿宋_GB2312" w:hAnsi="仿宋_GB2312" w:eastAsia="仿宋_GB2312" w:cs="仿宋_GB2312"/>
          <w:color w:val="FF0000"/>
          <w:sz w:val="32"/>
          <w:szCs w:val="32"/>
          <w:highlight w:val="none"/>
          <w:u w:val="none"/>
          <w:lang w:eastAsia="zh-CN"/>
        </w:rPr>
        <w:t>总体</w:t>
      </w:r>
      <w:r>
        <w:rPr>
          <w:rFonts w:hint="eastAsia" w:ascii="仿宋_GB2312" w:hAnsi="仿宋_GB2312" w:eastAsia="仿宋_GB2312" w:cs="仿宋_GB2312"/>
          <w:color w:val="FF0000"/>
          <w:sz w:val="32"/>
          <w:szCs w:val="32"/>
          <w:highlight w:val="none"/>
          <w:u w:val="none"/>
        </w:rPr>
        <w:t>规划（2021—2035年）》</w:t>
      </w:r>
      <w:r>
        <w:rPr>
          <w:rFonts w:hint="eastAsia" w:ascii="仿宋_GB2312" w:hAnsi="仿宋_GB2312" w:eastAsia="仿宋_GB2312" w:cs="仿宋_GB2312"/>
          <w:color w:val="auto"/>
          <w:sz w:val="32"/>
          <w:szCs w:val="32"/>
          <w:highlight w:val="none"/>
          <w:u w:val="none"/>
        </w:rPr>
        <w:t>，制定本规划。</w:t>
      </w:r>
    </w:p>
    <w:p>
      <w:pPr>
        <w:pStyle w:val="2"/>
        <w:keepNext w:val="0"/>
        <w:keepLines w:val="0"/>
        <w:pageBreakBefore w:val="0"/>
        <w:widowControl/>
        <w:kinsoku/>
        <w:wordWrap/>
        <w:overflowPunct/>
        <w:topLinePunct/>
        <w:autoSpaceDE w:val="0"/>
        <w:autoSpaceDN/>
        <w:bidi w:val="0"/>
        <w:adjustRightInd w:val="0"/>
        <w:snapToGrid w:val="0"/>
        <w:spacing w:line="600" w:lineRule="exact"/>
        <w:ind w:firstLine="640" w:firstLineChars="200"/>
        <w:textAlignment w:val="baseline"/>
        <w:rPr>
          <w:rFonts w:hint="eastAsia" w:ascii="黑体" w:hAnsi="黑体" w:eastAsia="黑体" w:cs="黑体"/>
          <w:color w:val="auto"/>
          <w:sz w:val="32"/>
          <w:szCs w:val="32"/>
          <w:highlight w:val="none"/>
          <w:u w:val="none"/>
        </w:rPr>
      </w:pPr>
      <w:r>
        <w:rPr>
          <w:rFonts w:hint="eastAsia" w:ascii="黑体" w:hAnsi="黑体" w:eastAsia="黑体" w:cs="黑体"/>
          <w:color w:val="auto"/>
          <w:sz w:val="32"/>
          <w:szCs w:val="32"/>
          <w:highlight w:val="none"/>
          <w:u w:val="none"/>
        </w:rPr>
        <w:t>一、规划目标</w:t>
      </w:r>
    </w:p>
    <w:p>
      <w:pPr>
        <w:pStyle w:val="2"/>
        <w:keepNext w:val="0"/>
        <w:keepLines w:val="0"/>
        <w:pageBreakBefore w:val="0"/>
        <w:widowControl/>
        <w:kinsoku/>
        <w:wordWrap/>
        <w:overflowPunct/>
        <w:topLinePunct/>
        <w:autoSpaceDE w:val="0"/>
        <w:autoSpaceDN/>
        <w:bidi w:val="0"/>
        <w:adjustRightInd w:val="0"/>
        <w:snapToGrid w:val="0"/>
        <w:spacing w:line="600" w:lineRule="exact"/>
        <w:ind w:firstLine="640" w:firstLineChars="200"/>
        <w:textAlignment w:val="baseline"/>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以习近平新时代中国特色社会主义思想为指导，锚定美丽中国建设目标，完整准确全面贯彻新发展理念，更好统筹发展和保护、发展和安全，认真履行“两统一”职责，在巩固既有优势的基础上，着力破除瓶颈制约，补齐短板弱项，推动我市自然资源事业在“十五五”时期实现更高质量、更有效率、更可持续的发展。</w:t>
      </w:r>
    </w:p>
    <w:p>
      <w:pPr>
        <w:pStyle w:val="2"/>
        <w:keepNext w:val="0"/>
        <w:keepLines w:val="0"/>
        <w:pageBreakBefore w:val="0"/>
        <w:widowControl/>
        <w:kinsoku/>
        <w:wordWrap/>
        <w:overflowPunct/>
        <w:topLinePunct/>
        <w:autoSpaceDE w:val="0"/>
        <w:autoSpaceDN/>
        <w:bidi w:val="0"/>
        <w:adjustRightInd w:val="0"/>
        <w:snapToGrid w:val="0"/>
        <w:spacing w:line="600" w:lineRule="exact"/>
        <w:ind w:firstLine="640" w:firstLineChars="200"/>
        <w:textAlignment w:val="baseline"/>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到2030年，全市自然资源保护利用水平显著提升，国土空间格局更加优化，国土空间规划管理体系进一步完善，</w:t>
      </w:r>
      <w:r>
        <w:rPr>
          <w:rFonts w:hint="eastAsia" w:ascii="仿宋_GB2312" w:hAnsi="仿宋_GB2312" w:eastAsia="仿宋_GB2312" w:cs="仿宋_GB2312"/>
          <w:color w:val="FF0000"/>
          <w:sz w:val="32"/>
          <w:szCs w:val="32"/>
          <w:highlight w:val="none"/>
          <w:u w:val="none"/>
        </w:rPr>
        <w:t>国土空间安全韧性</w:t>
      </w:r>
      <w:r>
        <w:rPr>
          <w:rFonts w:hint="eastAsia" w:ascii="仿宋_GB2312" w:hAnsi="仿宋_GB2312" w:eastAsia="仿宋_GB2312" w:cs="仿宋_GB2312"/>
          <w:color w:val="FF0000"/>
          <w:sz w:val="32"/>
          <w:szCs w:val="32"/>
          <w:highlight w:val="none"/>
          <w:u w:val="none"/>
          <w:lang w:eastAsia="zh-CN"/>
        </w:rPr>
        <w:t>进一步</w:t>
      </w:r>
      <w:r>
        <w:rPr>
          <w:rFonts w:hint="eastAsia" w:ascii="仿宋_GB2312" w:hAnsi="仿宋_GB2312" w:eastAsia="仿宋_GB2312" w:cs="仿宋_GB2312"/>
          <w:color w:val="FF0000"/>
          <w:sz w:val="32"/>
          <w:szCs w:val="32"/>
          <w:highlight w:val="none"/>
          <w:u w:val="none"/>
        </w:rPr>
        <w:t>提升</w:t>
      </w:r>
      <w:r>
        <w:rPr>
          <w:rFonts w:hint="eastAsia" w:ascii="仿宋_GB2312" w:hAnsi="仿宋_GB2312" w:eastAsia="仿宋_GB2312" w:cs="仿宋_GB2312"/>
          <w:color w:val="FF0000"/>
          <w:sz w:val="32"/>
          <w:szCs w:val="32"/>
          <w:highlight w:val="none"/>
          <w:u w:val="none"/>
          <w:lang w:eastAsia="zh-CN"/>
        </w:rPr>
        <w:t>，</w:t>
      </w:r>
      <w:r>
        <w:rPr>
          <w:rFonts w:hint="eastAsia" w:ascii="仿宋_GB2312" w:hAnsi="仿宋_GB2312" w:eastAsia="仿宋_GB2312" w:cs="仿宋_GB2312"/>
          <w:color w:val="auto"/>
          <w:sz w:val="32"/>
          <w:szCs w:val="32"/>
          <w:highlight w:val="none"/>
          <w:u w:val="none"/>
        </w:rPr>
        <w:t>自然资源管理和国土空间规划“一张图”建成运行，耕地数量、质量、生态“三位一体”保护持续强化，山水林田湖草沙一体化保护修复取得新成果，土地资源节约集约利用水平显著提升，矿产资源勘查开发有序推进，自然资源资产管理制度体系、生态产品价值实现机制更加健全，地质灾害防治能力显著增强，测绘地理信息服务保障能力全面升级，法治自然建设扎实推进，执法监管态势持续向好。</w:t>
      </w:r>
    </w:p>
    <w:p>
      <w:pPr>
        <w:pStyle w:val="3"/>
        <w:rPr>
          <w:rFonts w:hint="eastAsia"/>
        </w:rPr>
      </w:pPr>
    </w:p>
    <w:tbl>
      <w:tblPr>
        <w:tblStyle w:val="9"/>
        <w:tblW w:w="90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3738"/>
        <w:gridCol w:w="1500"/>
        <w:gridCol w:w="1850"/>
        <w:gridCol w:w="1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069"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黑体" w:hAnsi="黑体" w:eastAsia="黑体" w:cs="黑体"/>
                <w:color w:val="auto"/>
                <w:sz w:val="28"/>
                <w:szCs w:val="28"/>
                <w:highlight w:val="none"/>
                <w:u w:val="none"/>
                <w:vertAlign w:val="baseline"/>
                <w:lang w:val="en-US" w:eastAsia="zh-CN"/>
              </w:rPr>
            </w:pPr>
            <w:r>
              <w:rPr>
                <w:rFonts w:hint="eastAsia" w:ascii="黑体" w:hAnsi="黑体" w:eastAsia="黑体" w:cs="黑体"/>
                <w:color w:val="auto"/>
                <w:sz w:val="28"/>
                <w:szCs w:val="28"/>
                <w:highlight w:val="none"/>
                <w:u w:val="none"/>
                <w:vertAlign w:val="baseline"/>
                <w:lang w:val="en-US" w:eastAsia="zh-CN"/>
              </w:rPr>
              <w:t>“十五五”时期自然资源保护利用主要指标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50"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b/>
                <w:bCs/>
                <w:color w:val="auto"/>
                <w:sz w:val="28"/>
                <w:szCs w:val="28"/>
                <w:highlight w:val="none"/>
                <w:u w:val="none"/>
                <w:vertAlign w:val="baseline"/>
                <w:lang w:eastAsia="zh-CN"/>
              </w:rPr>
            </w:pPr>
            <w:r>
              <w:rPr>
                <w:rFonts w:hint="eastAsia" w:ascii="仿宋_GB2312" w:hAnsi="仿宋_GB2312" w:eastAsia="仿宋_GB2312" w:cs="仿宋_GB2312"/>
                <w:b/>
                <w:bCs/>
                <w:color w:val="auto"/>
                <w:sz w:val="28"/>
                <w:szCs w:val="28"/>
                <w:highlight w:val="none"/>
                <w:u w:val="none"/>
                <w:vertAlign w:val="baseline"/>
                <w:lang w:eastAsia="zh-CN"/>
              </w:rPr>
              <w:t>序号</w:t>
            </w:r>
          </w:p>
        </w:tc>
        <w:tc>
          <w:tcPr>
            <w:tcW w:w="3738"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b/>
                <w:bCs/>
                <w:color w:val="auto"/>
                <w:sz w:val="28"/>
                <w:szCs w:val="28"/>
                <w:highlight w:val="none"/>
                <w:u w:val="none"/>
                <w:vertAlign w:val="baseline"/>
                <w:lang w:eastAsia="zh-CN"/>
              </w:rPr>
            </w:pPr>
            <w:r>
              <w:rPr>
                <w:rFonts w:hint="eastAsia" w:ascii="仿宋_GB2312" w:hAnsi="仿宋_GB2312" w:eastAsia="仿宋_GB2312" w:cs="仿宋_GB2312"/>
                <w:b/>
                <w:bCs/>
                <w:color w:val="auto"/>
                <w:sz w:val="28"/>
                <w:szCs w:val="28"/>
                <w:highlight w:val="none"/>
                <w:u w:val="none"/>
                <w:vertAlign w:val="baseline"/>
                <w:lang w:eastAsia="zh-CN"/>
              </w:rPr>
              <w:t>指标</w:t>
            </w:r>
          </w:p>
        </w:tc>
        <w:tc>
          <w:tcPr>
            <w:tcW w:w="1500"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仿宋_GB2312" w:hAnsi="仿宋_GB2312" w:eastAsia="仿宋_GB2312" w:cs="仿宋_GB2312"/>
                <w:b/>
                <w:bCs/>
                <w:color w:val="auto"/>
                <w:sz w:val="28"/>
                <w:szCs w:val="28"/>
                <w:highlight w:val="none"/>
                <w:u w:val="none"/>
                <w:vertAlign w:val="baseline"/>
                <w:lang w:val="en-US" w:eastAsia="zh-CN"/>
              </w:rPr>
            </w:pPr>
            <w:r>
              <w:rPr>
                <w:rFonts w:hint="eastAsia" w:ascii="仿宋_GB2312" w:hAnsi="仿宋_GB2312" w:eastAsia="仿宋_GB2312" w:cs="仿宋_GB2312"/>
                <w:b/>
                <w:bCs/>
                <w:color w:val="auto"/>
                <w:sz w:val="28"/>
                <w:szCs w:val="28"/>
                <w:highlight w:val="none"/>
                <w:u w:val="none"/>
                <w:vertAlign w:val="baseline"/>
                <w:lang w:val="en-US" w:eastAsia="zh-CN"/>
              </w:rPr>
              <w:t>2025年</w:t>
            </w:r>
          </w:p>
        </w:tc>
        <w:tc>
          <w:tcPr>
            <w:tcW w:w="1850"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仿宋_GB2312" w:hAnsi="仿宋_GB2312" w:eastAsia="仿宋_GB2312" w:cs="仿宋_GB2312"/>
                <w:b/>
                <w:bCs/>
                <w:color w:val="auto"/>
                <w:sz w:val="28"/>
                <w:szCs w:val="28"/>
                <w:highlight w:val="none"/>
                <w:u w:val="none"/>
                <w:vertAlign w:val="baseline"/>
                <w:lang w:val="en-US" w:eastAsia="zh-CN"/>
              </w:rPr>
            </w:pPr>
            <w:r>
              <w:rPr>
                <w:rFonts w:hint="eastAsia" w:ascii="仿宋_GB2312" w:hAnsi="仿宋_GB2312" w:eastAsia="仿宋_GB2312" w:cs="仿宋_GB2312"/>
                <w:b/>
                <w:bCs/>
                <w:color w:val="auto"/>
                <w:sz w:val="28"/>
                <w:szCs w:val="28"/>
                <w:highlight w:val="none"/>
                <w:u w:val="none"/>
                <w:vertAlign w:val="baseline"/>
                <w:lang w:val="en-US" w:eastAsia="zh-CN"/>
              </w:rPr>
              <w:t>2030年</w:t>
            </w: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b/>
                <w:bCs/>
                <w:color w:val="auto"/>
                <w:sz w:val="28"/>
                <w:szCs w:val="28"/>
                <w:highlight w:val="none"/>
                <w:u w:val="none"/>
                <w:vertAlign w:val="baseline"/>
                <w:lang w:eastAsia="zh-CN"/>
              </w:rPr>
            </w:pPr>
            <w:r>
              <w:rPr>
                <w:rFonts w:hint="eastAsia" w:ascii="仿宋_GB2312" w:hAnsi="仿宋_GB2312" w:eastAsia="仿宋_GB2312" w:cs="仿宋_GB2312"/>
                <w:b/>
                <w:bCs/>
                <w:color w:val="auto"/>
                <w:sz w:val="28"/>
                <w:szCs w:val="28"/>
                <w:highlight w:val="none"/>
                <w:u w:val="none"/>
                <w:vertAlign w:val="baseline"/>
                <w:lang w:eastAsia="zh-CN"/>
              </w:rPr>
              <w:t>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50"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仿宋_GB2312" w:hAnsi="仿宋_GB2312" w:eastAsia="仿宋_GB2312" w:cs="仿宋_GB2312"/>
                <w:color w:val="auto"/>
                <w:sz w:val="28"/>
                <w:szCs w:val="28"/>
                <w:highlight w:val="none"/>
                <w:u w:val="none"/>
                <w:vertAlign w:val="baseline"/>
                <w:lang w:val="en-US" w:eastAsia="zh-CN"/>
              </w:rPr>
            </w:pPr>
            <w:r>
              <w:rPr>
                <w:rFonts w:hint="eastAsia" w:ascii="仿宋_GB2312" w:hAnsi="仿宋_GB2312" w:eastAsia="仿宋_GB2312" w:cs="仿宋_GB2312"/>
                <w:color w:val="auto"/>
                <w:sz w:val="28"/>
                <w:szCs w:val="28"/>
                <w:highlight w:val="none"/>
                <w:u w:val="none"/>
                <w:vertAlign w:val="baseline"/>
                <w:lang w:val="en-US" w:eastAsia="zh-CN"/>
              </w:rPr>
              <w:t>1</w:t>
            </w:r>
          </w:p>
        </w:tc>
        <w:tc>
          <w:tcPr>
            <w:tcW w:w="3738"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color w:val="auto"/>
                <w:sz w:val="28"/>
                <w:szCs w:val="28"/>
                <w:highlight w:val="none"/>
                <w:u w:val="none"/>
                <w:vertAlign w:val="baseline"/>
                <w:lang w:eastAsia="zh-CN"/>
              </w:rPr>
            </w:pPr>
            <w:r>
              <w:rPr>
                <w:rFonts w:hint="eastAsia" w:ascii="仿宋_GB2312" w:hAnsi="仿宋_GB2312" w:eastAsia="仿宋_GB2312" w:cs="仿宋_GB2312"/>
                <w:color w:val="auto"/>
                <w:sz w:val="28"/>
                <w:szCs w:val="28"/>
                <w:highlight w:val="none"/>
                <w:u w:val="none"/>
                <w:vertAlign w:val="baseline"/>
                <w:lang w:eastAsia="zh-CN"/>
              </w:rPr>
              <w:t>耕地保有量（万亩）</w:t>
            </w:r>
          </w:p>
        </w:tc>
        <w:tc>
          <w:tcPr>
            <w:tcW w:w="1500"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color w:val="auto"/>
                <w:sz w:val="28"/>
                <w:szCs w:val="28"/>
                <w:highlight w:val="none"/>
                <w:u w:val="none"/>
                <w:vertAlign w:val="baseline"/>
                <w:lang w:val="en-US" w:eastAsia="zh-CN"/>
              </w:rPr>
            </w:pPr>
            <w:r>
              <w:rPr>
                <w:rFonts w:hint="eastAsia" w:ascii="仿宋_GB2312" w:hAnsi="仿宋_GB2312" w:eastAsia="仿宋_GB2312" w:cs="仿宋_GB2312"/>
                <w:color w:val="auto"/>
                <w:sz w:val="28"/>
                <w:szCs w:val="28"/>
                <w:highlight w:val="none"/>
                <w:u w:val="none"/>
                <w:vertAlign w:val="baseline"/>
                <w:lang w:val="en-US" w:eastAsia="zh-CN"/>
              </w:rPr>
              <w:t>244.85</w:t>
            </w:r>
          </w:p>
        </w:tc>
        <w:tc>
          <w:tcPr>
            <w:tcW w:w="1850"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仿宋_GB2312" w:hAnsi="仿宋_GB2312" w:eastAsia="仿宋_GB2312" w:cs="仿宋_GB2312"/>
                <w:color w:val="auto"/>
                <w:sz w:val="28"/>
                <w:szCs w:val="28"/>
                <w:highlight w:val="none"/>
                <w:u w:val="none"/>
                <w:vertAlign w:val="baseline"/>
                <w:lang w:val="en-US" w:eastAsia="zh-CN"/>
              </w:rPr>
            </w:pPr>
            <w:r>
              <w:rPr>
                <w:rFonts w:hint="eastAsia" w:ascii="仿宋_GB2312" w:hAnsi="仿宋_GB2312" w:eastAsia="仿宋_GB2312" w:cs="仿宋_GB2312"/>
                <w:color w:val="auto"/>
                <w:sz w:val="28"/>
                <w:szCs w:val="28"/>
                <w:highlight w:val="none"/>
                <w:u w:val="none"/>
                <w:vertAlign w:val="baseline"/>
              </w:rPr>
              <w:t>≥</w:t>
            </w:r>
            <w:r>
              <w:rPr>
                <w:rFonts w:hint="eastAsia" w:ascii="仿宋_GB2312" w:hAnsi="仿宋_GB2312" w:eastAsia="仿宋_GB2312" w:cs="仿宋_GB2312"/>
                <w:color w:val="auto"/>
                <w:sz w:val="28"/>
                <w:szCs w:val="28"/>
                <w:highlight w:val="none"/>
                <w:u w:val="none"/>
                <w:vertAlign w:val="baseline"/>
                <w:lang w:val="en-US" w:eastAsia="zh-CN"/>
              </w:rPr>
              <w:t>238.89</w:t>
            </w: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color w:val="auto"/>
                <w:sz w:val="28"/>
                <w:szCs w:val="28"/>
                <w:highlight w:val="none"/>
                <w:u w:val="none"/>
                <w:vertAlign w:val="baseline"/>
                <w:lang w:eastAsia="zh-CN"/>
              </w:rPr>
            </w:pPr>
            <w:r>
              <w:rPr>
                <w:rFonts w:hint="eastAsia" w:ascii="仿宋_GB2312" w:hAnsi="仿宋_GB2312" w:eastAsia="仿宋_GB2312" w:cs="仿宋_GB2312"/>
                <w:color w:val="auto"/>
                <w:sz w:val="28"/>
                <w:szCs w:val="28"/>
                <w:highlight w:val="none"/>
                <w:u w:val="none"/>
                <w:vertAlign w:val="baseline"/>
                <w:lang w:eastAsia="zh-CN"/>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50"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仿宋_GB2312" w:hAnsi="仿宋_GB2312" w:eastAsia="仿宋_GB2312" w:cs="仿宋_GB2312"/>
                <w:color w:val="auto"/>
                <w:sz w:val="28"/>
                <w:szCs w:val="28"/>
                <w:highlight w:val="none"/>
                <w:u w:val="none"/>
                <w:vertAlign w:val="baseline"/>
                <w:lang w:val="en-US" w:eastAsia="zh-CN"/>
              </w:rPr>
            </w:pPr>
            <w:r>
              <w:rPr>
                <w:rFonts w:hint="eastAsia" w:ascii="仿宋_GB2312" w:hAnsi="仿宋_GB2312" w:eastAsia="仿宋_GB2312" w:cs="仿宋_GB2312"/>
                <w:color w:val="auto"/>
                <w:sz w:val="28"/>
                <w:szCs w:val="28"/>
                <w:highlight w:val="none"/>
                <w:u w:val="none"/>
                <w:vertAlign w:val="baseline"/>
                <w:lang w:val="en-US" w:eastAsia="zh-CN"/>
              </w:rPr>
              <w:t>2</w:t>
            </w:r>
          </w:p>
        </w:tc>
        <w:tc>
          <w:tcPr>
            <w:tcW w:w="3738"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color w:val="auto"/>
                <w:sz w:val="28"/>
                <w:szCs w:val="28"/>
                <w:highlight w:val="none"/>
                <w:u w:val="none"/>
                <w:vertAlign w:val="baseline"/>
                <w:lang w:eastAsia="zh-CN"/>
              </w:rPr>
            </w:pPr>
            <w:r>
              <w:rPr>
                <w:rFonts w:hint="eastAsia" w:ascii="仿宋_GB2312" w:hAnsi="仿宋_GB2312" w:eastAsia="仿宋_GB2312" w:cs="仿宋_GB2312"/>
                <w:color w:val="auto"/>
                <w:sz w:val="28"/>
                <w:szCs w:val="28"/>
                <w:highlight w:val="none"/>
                <w:u w:val="none"/>
                <w:vertAlign w:val="baseline"/>
                <w:lang w:eastAsia="zh-CN"/>
              </w:rPr>
              <w:t>永久基本农田保护面积（万亩）</w:t>
            </w:r>
          </w:p>
        </w:tc>
        <w:tc>
          <w:tcPr>
            <w:tcW w:w="1500"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color w:val="auto"/>
                <w:sz w:val="28"/>
                <w:szCs w:val="28"/>
                <w:highlight w:val="none"/>
                <w:u w:val="none"/>
                <w:vertAlign w:val="baseline"/>
                <w:lang w:val="en-US" w:eastAsia="zh-CN"/>
              </w:rPr>
            </w:pPr>
            <w:r>
              <w:rPr>
                <w:rFonts w:hint="eastAsia" w:ascii="仿宋_GB2312" w:hAnsi="仿宋_GB2312" w:eastAsia="仿宋_GB2312" w:cs="仿宋_GB2312"/>
                <w:color w:val="auto"/>
                <w:sz w:val="28"/>
                <w:szCs w:val="28"/>
                <w:highlight w:val="none"/>
                <w:u w:val="none"/>
                <w:vertAlign w:val="baseline"/>
                <w:lang w:val="en-US" w:eastAsia="zh-CN"/>
              </w:rPr>
              <w:t>222.2</w:t>
            </w:r>
          </w:p>
        </w:tc>
        <w:tc>
          <w:tcPr>
            <w:tcW w:w="1850"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仿宋_GB2312" w:hAnsi="仿宋_GB2312" w:eastAsia="仿宋_GB2312" w:cs="仿宋_GB2312"/>
                <w:color w:val="auto"/>
                <w:sz w:val="28"/>
                <w:szCs w:val="28"/>
                <w:highlight w:val="none"/>
                <w:u w:val="none"/>
                <w:vertAlign w:val="baseline"/>
                <w:lang w:val="en-US" w:eastAsia="zh-CN"/>
              </w:rPr>
            </w:pPr>
            <w:r>
              <w:rPr>
                <w:rFonts w:hint="eastAsia" w:ascii="仿宋_GB2312" w:hAnsi="仿宋_GB2312" w:eastAsia="仿宋_GB2312" w:cs="仿宋_GB2312"/>
                <w:color w:val="FF0000"/>
                <w:sz w:val="28"/>
                <w:szCs w:val="28"/>
                <w:highlight w:val="none"/>
                <w:u w:val="none"/>
                <w:vertAlign w:val="baseline"/>
              </w:rPr>
              <w:t>≥</w:t>
            </w:r>
            <w:r>
              <w:rPr>
                <w:rFonts w:hint="eastAsia" w:ascii="仿宋_GB2312" w:hAnsi="仿宋_GB2312" w:eastAsia="仿宋_GB2312" w:cs="仿宋_GB2312"/>
                <w:color w:val="FF0000"/>
                <w:sz w:val="28"/>
                <w:szCs w:val="28"/>
                <w:highlight w:val="none"/>
                <w:u w:val="none"/>
                <w:vertAlign w:val="baseline"/>
                <w:lang w:val="en-US" w:eastAsia="zh-CN"/>
              </w:rPr>
              <w:t>219.552</w:t>
            </w: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color w:val="auto"/>
                <w:sz w:val="28"/>
                <w:szCs w:val="28"/>
                <w:highlight w:val="none"/>
                <w:u w:val="none"/>
                <w:vertAlign w:val="baseline"/>
                <w:lang w:eastAsia="zh-CN"/>
              </w:rPr>
            </w:pPr>
            <w:r>
              <w:rPr>
                <w:rFonts w:hint="eastAsia" w:ascii="仿宋_GB2312" w:hAnsi="仿宋_GB2312" w:eastAsia="仿宋_GB2312" w:cs="仿宋_GB2312"/>
                <w:color w:val="auto"/>
                <w:sz w:val="28"/>
                <w:szCs w:val="28"/>
                <w:highlight w:val="none"/>
                <w:u w:val="none"/>
                <w:vertAlign w:val="baseline"/>
                <w:lang w:eastAsia="zh-CN"/>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50"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color w:val="auto"/>
                <w:sz w:val="28"/>
                <w:szCs w:val="28"/>
                <w:highlight w:val="none"/>
                <w:u w:val="none"/>
                <w:vertAlign w:val="baseline"/>
                <w:lang w:val="en-US" w:eastAsia="zh-CN"/>
              </w:rPr>
            </w:pPr>
            <w:r>
              <w:rPr>
                <w:rFonts w:hint="eastAsia" w:ascii="仿宋_GB2312" w:hAnsi="仿宋_GB2312" w:eastAsia="仿宋_GB2312" w:cs="仿宋_GB2312"/>
                <w:color w:val="auto"/>
                <w:sz w:val="28"/>
                <w:szCs w:val="28"/>
                <w:highlight w:val="none"/>
                <w:u w:val="none"/>
                <w:vertAlign w:val="baseline"/>
                <w:lang w:val="en-US" w:eastAsia="zh-CN"/>
              </w:rPr>
              <w:t>3</w:t>
            </w:r>
          </w:p>
        </w:tc>
        <w:tc>
          <w:tcPr>
            <w:tcW w:w="3738"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color w:val="auto"/>
                <w:sz w:val="28"/>
                <w:szCs w:val="28"/>
                <w:highlight w:val="none"/>
                <w:u w:val="none"/>
                <w:vertAlign w:val="baseline"/>
                <w:lang w:eastAsia="zh-CN"/>
              </w:rPr>
            </w:pPr>
            <w:r>
              <w:rPr>
                <w:rFonts w:hint="eastAsia" w:ascii="仿宋_GB2312" w:hAnsi="仿宋_GB2312" w:eastAsia="仿宋_GB2312" w:cs="仿宋_GB2312"/>
                <w:color w:val="auto"/>
                <w:sz w:val="28"/>
                <w:szCs w:val="28"/>
                <w:highlight w:val="none"/>
                <w:u w:val="none"/>
                <w:vertAlign w:val="baseline"/>
                <w:lang w:eastAsia="zh-CN"/>
              </w:rPr>
              <w:t>生态保护红线面积</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color w:val="auto"/>
                <w:sz w:val="28"/>
                <w:szCs w:val="28"/>
                <w:highlight w:val="none"/>
                <w:u w:val="none"/>
                <w:vertAlign w:val="baseline"/>
                <w:lang w:eastAsia="zh-CN"/>
              </w:rPr>
            </w:pPr>
            <w:r>
              <w:rPr>
                <w:rFonts w:hint="eastAsia" w:ascii="仿宋_GB2312" w:hAnsi="仿宋_GB2312" w:eastAsia="仿宋_GB2312" w:cs="仿宋_GB2312"/>
                <w:color w:val="auto"/>
                <w:sz w:val="28"/>
                <w:szCs w:val="28"/>
                <w:highlight w:val="none"/>
                <w:u w:val="none"/>
                <w:vertAlign w:val="baseline"/>
                <w:lang w:eastAsia="zh-CN"/>
              </w:rPr>
              <w:t>（平方千米）</w:t>
            </w:r>
          </w:p>
        </w:tc>
        <w:tc>
          <w:tcPr>
            <w:tcW w:w="1500"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仿宋_GB2312" w:hAnsi="仿宋_GB2312" w:eastAsia="仿宋_GB2312" w:cs="仿宋_GB2312"/>
                <w:color w:val="auto"/>
                <w:sz w:val="28"/>
                <w:szCs w:val="28"/>
                <w:highlight w:val="none"/>
                <w:u w:val="none"/>
                <w:vertAlign w:val="baseline"/>
                <w:lang w:val="en-US" w:eastAsia="zh-CN"/>
              </w:rPr>
            </w:pPr>
            <w:r>
              <w:rPr>
                <w:rFonts w:hint="eastAsia" w:ascii="仿宋_GB2312" w:hAnsi="仿宋_GB2312" w:eastAsia="仿宋_GB2312" w:cs="仿宋_GB2312"/>
                <w:color w:val="auto"/>
                <w:kern w:val="0"/>
                <w:sz w:val="28"/>
                <w:szCs w:val="28"/>
                <w:highlight w:val="none"/>
                <w:u w:val="none"/>
                <w:shd w:val="clear" w:color="auto" w:fill="FFFFFF"/>
                <w:lang w:val="en-US" w:eastAsia="zh-CN" w:bidi="ar"/>
              </w:rPr>
              <w:t>6479.2</w:t>
            </w:r>
          </w:p>
        </w:tc>
        <w:tc>
          <w:tcPr>
            <w:tcW w:w="1850" w:type="dxa"/>
            <w:noWrap w:val="0"/>
            <w:vAlign w:val="center"/>
          </w:tcPr>
          <w:p>
            <w:pPr>
              <w:keepNext w:val="0"/>
              <w:keepLines w:val="0"/>
              <w:pageBreakBefore w:val="0"/>
              <w:widowControl w:val="0"/>
              <w:tabs>
                <w:tab w:val="left" w:pos="212"/>
                <w:tab w:val="center" w:pos="766"/>
              </w:tabs>
              <w:kinsoku/>
              <w:wordWrap/>
              <w:overflowPunct/>
              <w:topLinePunct w:val="0"/>
              <w:autoSpaceDE/>
              <w:autoSpaceDN/>
              <w:bidi w:val="0"/>
              <w:adjustRightInd/>
              <w:snapToGrid/>
              <w:spacing w:line="460" w:lineRule="exact"/>
              <w:jc w:val="left"/>
              <w:textAlignment w:val="auto"/>
              <w:rPr>
                <w:rFonts w:hint="default" w:ascii="仿宋_GB2312" w:hAnsi="仿宋_GB2312" w:eastAsia="仿宋_GB2312" w:cs="仿宋_GB2312"/>
                <w:color w:val="auto"/>
                <w:sz w:val="28"/>
                <w:szCs w:val="28"/>
                <w:highlight w:val="none"/>
                <w:u w:val="none"/>
                <w:vertAlign w:val="baseline"/>
                <w:lang w:val="en-US"/>
              </w:rPr>
            </w:pPr>
            <w:r>
              <w:rPr>
                <w:rFonts w:hint="eastAsia" w:ascii="仿宋_GB2312" w:hAnsi="仿宋_GB2312" w:eastAsia="仿宋_GB2312" w:cs="仿宋_GB2312"/>
                <w:color w:val="auto"/>
                <w:kern w:val="0"/>
                <w:sz w:val="28"/>
                <w:szCs w:val="28"/>
                <w:highlight w:val="none"/>
                <w:u w:val="none"/>
                <w:shd w:val="clear" w:color="auto" w:fill="FFFFFF"/>
                <w:lang w:val="en-US" w:eastAsia="zh-CN" w:bidi="ar"/>
              </w:rPr>
              <w:tab/>
            </w:r>
            <w:r>
              <w:rPr>
                <w:rFonts w:hint="eastAsia" w:ascii="仿宋_GB2312" w:hAnsi="仿宋_GB2312" w:eastAsia="仿宋_GB2312" w:cs="仿宋_GB2312"/>
                <w:color w:val="auto"/>
                <w:sz w:val="28"/>
                <w:szCs w:val="28"/>
                <w:highlight w:val="none"/>
                <w:u w:val="none"/>
                <w:vertAlign w:val="baseline"/>
              </w:rPr>
              <w:t>≥</w:t>
            </w:r>
            <w:r>
              <w:rPr>
                <w:rFonts w:hint="eastAsia" w:ascii="仿宋_GB2312" w:hAnsi="仿宋_GB2312" w:eastAsia="仿宋_GB2312" w:cs="仿宋_GB2312"/>
                <w:color w:val="auto"/>
                <w:sz w:val="28"/>
                <w:szCs w:val="28"/>
                <w:highlight w:val="none"/>
                <w:u w:val="none"/>
                <w:vertAlign w:val="baseline"/>
                <w:lang w:val="en-US" w:eastAsia="zh-CN"/>
              </w:rPr>
              <w:t>6</w:t>
            </w:r>
            <w:r>
              <w:rPr>
                <w:rFonts w:hint="eastAsia" w:ascii="仿宋_GB2312" w:hAnsi="仿宋_GB2312" w:eastAsia="仿宋_GB2312" w:cs="仿宋_GB2312"/>
                <w:color w:val="auto"/>
                <w:kern w:val="0"/>
                <w:sz w:val="28"/>
                <w:szCs w:val="28"/>
                <w:highlight w:val="none"/>
                <w:u w:val="none"/>
                <w:shd w:val="clear" w:color="auto" w:fill="FFFFFF"/>
                <w:lang w:val="en-US" w:eastAsia="zh-CN" w:bidi="ar"/>
              </w:rPr>
              <w:t>474.13</w:t>
            </w: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color w:val="auto"/>
                <w:sz w:val="28"/>
                <w:szCs w:val="28"/>
                <w:highlight w:val="none"/>
                <w:u w:val="none"/>
                <w:vertAlign w:val="baseline"/>
                <w:lang w:eastAsia="zh-CN"/>
              </w:rPr>
            </w:pPr>
            <w:r>
              <w:rPr>
                <w:rFonts w:hint="eastAsia" w:ascii="仿宋_GB2312" w:hAnsi="仿宋_GB2312" w:eastAsia="仿宋_GB2312" w:cs="仿宋_GB2312"/>
                <w:color w:val="auto"/>
                <w:sz w:val="28"/>
                <w:szCs w:val="28"/>
                <w:highlight w:val="none"/>
                <w:u w:val="none"/>
                <w:vertAlign w:val="baseline"/>
                <w:lang w:eastAsia="zh-CN"/>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50"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color w:val="auto"/>
                <w:sz w:val="28"/>
                <w:szCs w:val="28"/>
                <w:highlight w:val="none"/>
                <w:u w:val="none"/>
                <w:vertAlign w:val="baseline"/>
                <w:lang w:val="en-US" w:eastAsia="zh-CN"/>
              </w:rPr>
            </w:pPr>
            <w:r>
              <w:rPr>
                <w:rFonts w:hint="eastAsia" w:ascii="仿宋_GB2312" w:hAnsi="仿宋_GB2312" w:eastAsia="仿宋_GB2312" w:cs="仿宋_GB2312"/>
                <w:color w:val="auto"/>
                <w:sz w:val="28"/>
                <w:szCs w:val="28"/>
                <w:highlight w:val="none"/>
                <w:u w:val="none"/>
                <w:vertAlign w:val="baseline"/>
                <w:lang w:val="en-US" w:eastAsia="zh-CN"/>
              </w:rPr>
              <w:t>4</w:t>
            </w:r>
          </w:p>
        </w:tc>
        <w:tc>
          <w:tcPr>
            <w:tcW w:w="3738"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color w:val="auto"/>
                <w:sz w:val="28"/>
                <w:szCs w:val="28"/>
                <w:highlight w:val="none"/>
                <w:u w:val="none"/>
                <w:vertAlign w:val="baseline"/>
                <w:lang w:eastAsia="zh-CN"/>
              </w:rPr>
            </w:pPr>
            <w:r>
              <w:rPr>
                <w:rFonts w:hint="eastAsia" w:ascii="仿宋_GB2312" w:hAnsi="仿宋_GB2312" w:eastAsia="仿宋_GB2312" w:cs="仿宋_GB2312"/>
                <w:color w:val="auto"/>
                <w:sz w:val="28"/>
                <w:szCs w:val="28"/>
                <w:highlight w:val="none"/>
                <w:u w:val="none"/>
                <w:vertAlign w:val="baseline"/>
                <w:lang w:eastAsia="zh-CN"/>
              </w:rPr>
              <w:t>城镇开发边界内新增建设用地规模（万亩）</w:t>
            </w:r>
          </w:p>
        </w:tc>
        <w:tc>
          <w:tcPr>
            <w:tcW w:w="1500"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仿宋_GB2312" w:hAnsi="仿宋_GB2312" w:eastAsia="仿宋_GB2312" w:cs="仿宋_GB2312"/>
                <w:color w:val="auto"/>
                <w:sz w:val="28"/>
                <w:szCs w:val="28"/>
                <w:highlight w:val="none"/>
                <w:u w:val="none"/>
                <w:vertAlign w:val="baseline"/>
                <w:lang w:val="en-US" w:eastAsia="zh-CN"/>
              </w:rPr>
            </w:pPr>
            <w:r>
              <w:rPr>
                <w:rFonts w:hint="eastAsia" w:ascii="仿宋_GB2312" w:hAnsi="仿宋_GB2312" w:eastAsia="仿宋_GB2312" w:cs="仿宋_GB2312"/>
                <w:color w:val="auto"/>
                <w:sz w:val="28"/>
                <w:szCs w:val="28"/>
                <w:highlight w:val="none"/>
                <w:u w:val="none"/>
                <w:vertAlign w:val="baseline"/>
              </w:rPr>
              <w:t>〔</w:t>
            </w:r>
            <w:r>
              <w:rPr>
                <w:rFonts w:hint="eastAsia" w:ascii="仿宋_GB2312" w:hAnsi="仿宋_GB2312" w:eastAsia="仿宋_GB2312" w:cs="仿宋_GB2312"/>
                <w:color w:val="auto"/>
                <w:sz w:val="28"/>
                <w:szCs w:val="28"/>
                <w:highlight w:val="none"/>
                <w:u w:val="none"/>
                <w:vertAlign w:val="baseline"/>
                <w:lang w:val="en-US" w:eastAsia="zh-CN"/>
              </w:rPr>
              <w:t>≤2.77</w:t>
            </w:r>
            <w:r>
              <w:rPr>
                <w:rFonts w:hint="eastAsia" w:ascii="仿宋_GB2312" w:hAnsi="仿宋_GB2312" w:eastAsia="仿宋_GB2312" w:cs="仿宋_GB2312"/>
                <w:color w:val="auto"/>
                <w:sz w:val="28"/>
                <w:szCs w:val="28"/>
                <w:highlight w:val="none"/>
                <w:u w:val="none"/>
                <w:vertAlign w:val="baseline"/>
              </w:rPr>
              <w:t>〕</w:t>
            </w:r>
          </w:p>
        </w:tc>
        <w:tc>
          <w:tcPr>
            <w:tcW w:w="1850"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color w:val="auto"/>
                <w:sz w:val="28"/>
                <w:szCs w:val="28"/>
                <w:highlight w:val="none"/>
                <w:u w:val="none"/>
                <w:vertAlign w:val="baseline"/>
                <w:lang w:eastAsia="zh-CN"/>
              </w:rPr>
            </w:pPr>
            <w:r>
              <w:rPr>
                <w:rFonts w:hint="eastAsia" w:ascii="仿宋_GB2312" w:hAnsi="仿宋_GB2312" w:eastAsia="仿宋_GB2312" w:cs="仿宋_GB2312"/>
                <w:color w:val="auto"/>
                <w:sz w:val="28"/>
                <w:szCs w:val="28"/>
                <w:highlight w:val="none"/>
                <w:u w:val="none"/>
                <w:vertAlign w:val="baseline"/>
              </w:rPr>
              <w:t>〔</w:t>
            </w:r>
            <w:r>
              <w:rPr>
                <w:rFonts w:hint="eastAsia" w:ascii="仿宋_GB2312" w:hAnsi="仿宋_GB2312" w:eastAsia="仿宋_GB2312" w:cs="仿宋_GB2312"/>
                <w:color w:val="auto"/>
                <w:sz w:val="28"/>
                <w:szCs w:val="28"/>
                <w:highlight w:val="none"/>
                <w:u w:val="none"/>
                <w:vertAlign w:val="baseline"/>
                <w:lang w:val="en-US" w:eastAsia="zh-CN"/>
              </w:rPr>
              <w:t>≤2.46</w:t>
            </w:r>
            <w:r>
              <w:rPr>
                <w:rFonts w:hint="eastAsia" w:ascii="仿宋_GB2312" w:hAnsi="仿宋_GB2312" w:eastAsia="仿宋_GB2312" w:cs="仿宋_GB2312"/>
                <w:color w:val="auto"/>
                <w:sz w:val="28"/>
                <w:szCs w:val="28"/>
                <w:highlight w:val="none"/>
                <w:u w:val="none"/>
                <w:vertAlign w:val="baseline"/>
              </w:rPr>
              <w:t>〕</w:t>
            </w: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color w:val="auto"/>
                <w:sz w:val="28"/>
                <w:szCs w:val="28"/>
                <w:highlight w:val="none"/>
                <w:u w:val="none"/>
                <w:vertAlign w:val="baseline"/>
                <w:lang w:eastAsia="zh-CN"/>
              </w:rPr>
            </w:pPr>
            <w:r>
              <w:rPr>
                <w:rFonts w:hint="eastAsia" w:ascii="仿宋_GB2312" w:hAnsi="仿宋_GB2312" w:eastAsia="仿宋_GB2312" w:cs="仿宋_GB2312"/>
                <w:color w:val="auto"/>
                <w:sz w:val="28"/>
                <w:szCs w:val="28"/>
                <w:highlight w:val="none"/>
                <w:u w:val="none"/>
                <w:vertAlign w:val="baseline"/>
                <w:lang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50"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color w:val="auto"/>
                <w:sz w:val="28"/>
                <w:szCs w:val="28"/>
                <w:highlight w:val="none"/>
                <w:u w:val="none"/>
                <w:vertAlign w:val="baseline"/>
                <w:lang w:val="en-US" w:eastAsia="zh-CN"/>
              </w:rPr>
            </w:pPr>
            <w:r>
              <w:rPr>
                <w:rFonts w:hint="eastAsia" w:ascii="仿宋_GB2312" w:hAnsi="仿宋_GB2312" w:eastAsia="仿宋_GB2312" w:cs="仿宋_GB2312"/>
                <w:color w:val="auto"/>
                <w:sz w:val="28"/>
                <w:szCs w:val="28"/>
                <w:highlight w:val="none"/>
                <w:u w:val="none"/>
                <w:vertAlign w:val="baseline"/>
                <w:lang w:val="en-US" w:eastAsia="zh-CN"/>
              </w:rPr>
              <w:t>5</w:t>
            </w:r>
          </w:p>
        </w:tc>
        <w:tc>
          <w:tcPr>
            <w:tcW w:w="3738"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color w:val="auto"/>
                <w:sz w:val="28"/>
                <w:szCs w:val="28"/>
                <w:highlight w:val="none"/>
                <w:u w:val="none"/>
                <w:vertAlign w:val="baseline"/>
                <w:lang w:eastAsia="zh-CN"/>
              </w:rPr>
            </w:pPr>
            <w:r>
              <w:rPr>
                <w:rFonts w:hint="eastAsia" w:ascii="仿宋_GB2312" w:hAnsi="仿宋_GB2312" w:eastAsia="仿宋_GB2312" w:cs="仿宋_GB2312"/>
                <w:color w:val="auto"/>
                <w:sz w:val="28"/>
                <w:szCs w:val="28"/>
                <w:highlight w:val="none"/>
                <w:u w:val="none"/>
                <w:vertAlign w:val="baseline"/>
                <w:lang w:eastAsia="zh-CN"/>
              </w:rPr>
              <w:t>历史遗留矿山修复治理面积（亩）</w:t>
            </w:r>
          </w:p>
        </w:tc>
        <w:tc>
          <w:tcPr>
            <w:tcW w:w="1500"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color w:val="auto"/>
                <w:sz w:val="28"/>
                <w:szCs w:val="28"/>
                <w:highlight w:val="none"/>
                <w:u w:val="none"/>
                <w:vertAlign w:val="baseline"/>
              </w:rPr>
            </w:pPr>
            <w:r>
              <w:rPr>
                <w:rFonts w:hint="eastAsia" w:ascii="仿宋_GB2312" w:hAnsi="仿宋_GB2312" w:eastAsia="仿宋_GB2312" w:cs="仿宋_GB2312"/>
                <w:color w:val="auto"/>
                <w:sz w:val="28"/>
                <w:szCs w:val="28"/>
                <w:highlight w:val="none"/>
                <w:u w:val="none"/>
                <w:vertAlign w:val="baseline"/>
              </w:rPr>
              <w:t>〔</w:t>
            </w:r>
            <w:r>
              <w:rPr>
                <w:rFonts w:hint="eastAsia" w:ascii="仿宋_GB2312" w:hAnsi="仿宋_GB2312" w:eastAsia="仿宋_GB2312" w:cs="仿宋_GB2312"/>
                <w:color w:val="auto"/>
                <w:sz w:val="28"/>
                <w:szCs w:val="28"/>
                <w:highlight w:val="none"/>
                <w:u w:val="none"/>
                <w:vertAlign w:val="baseline"/>
                <w:lang w:val="en-US" w:eastAsia="zh-CN"/>
              </w:rPr>
              <w:t>6900</w:t>
            </w:r>
            <w:r>
              <w:rPr>
                <w:rFonts w:hint="eastAsia" w:ascii="仿宋_GB2312" w:hAnsi="仿宋_GB2312" w:eastAsia="仿宋_GB2312" w:cs="仿宋_GB2312"/>
                <w:color w:val="auto"/>
                <w:sz w:val="28"/>
                <w:szCs w:val="28"/>
                <w:highlight w:val="none"/>
                <w:u w:val="none"/>
                <w:vertAlign w:val="baseline"/>
              </w:rPr>
              <w:t>〕</w:t>
            </w:r>
          </w:p>
        </w:tc>
        <w:tc>
          <w:tcPr>
            <w:tcW w:w="1850"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color w:val="auto"/>
                <w:sz w:val="28"/>
                <w:szCs w:val="28"/>
                <w:highlight w:val="none"/>
                <w:u w:val="none"/>
                <w:vertAlign w:val="baseline"/>
                <w:lang w:eastAsia="zh-CN"/>
              </w:rPr>
            </w:pPr>
            <w:r>
              <w:rPr>
                <w:rFonts w:hint="eastAsia" w:ascii="仿宋_GB2312" w:hAnsi="仿宋_GB2312" w:eastAsia="仿宋_GB2312" w:cs="仿宋_GB2312"/>
                <w:color w:val="auto"/>
                <w:sz w:val="28"/>
                <w:szCs w:val="28"/>
                <w:vertAlign w:val="baseline"/>
                <w:lang w:eastAsia="zh-CN"/>
              </w:rPr>
              <w:t>落实省厅下达指标</w:t>
            </w: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color w:val="auto"/>
                <w:sz w:val="28"/>
                <w:szCs w:val="28"/>
                <w:highlight w:val="none"/>
                <w:u w:val="none"/>
                <w:vertAlign w:val="baseline"/>
                <w:lang w:eastAsia="zh-CN"/>
              </w:rPr>
            </w:pPr>
            <w:r>
              <w:rPr>
                <w:rFonts w:hint="eastAsia" w:ascii="仿宋_GB2312" w:hAnsi="仿宋_GB2312" w:eastAsia="仿宋_GB2312" w:cs="仿宋_GB2312"/>
                <w:color w:val="auto"/>
                <w:sz w:val="28"/>
                <w:szCs w:val="28"/>
                <w:highlight w:val="none"/>
                <w:u w:val="none"/>
                <w:vertAlign w:val="baseline"/>
                <w:lang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50"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仿宋_GB2312" w:hAnsi="仿宋_GB2312" w:eastAsia="仿宋_GB2312" w:cs="仿宋_GB2312"/>
                <w:color w:val="auto"/>
                <w:sz w:val="28"/>
                <w:szCs w:val="28"/>
                <w:highlight w:val="none"/>
                <w:u w:val="none"/>
                <w:vertAlign w:val="baseline"/>
                <w:lang w:val="en-US" w:eastAsia="zh-CN"/>
              </w:rPr>
            </w:pPr>
            <w:r>
              <w:rPr>
                <w:rFonts w:hint="eastAsia" w:ascii="仿宋_GB2312" w:hAnsi="仿宋_GB2312" w:eastAsia="仿宋_GB2312" w:cs="仿宋_GB2312"/>
                <w:color w:val="auto"/>
                <w:sz w:val="28"/>
                <w:szCs w:val="28"/>
                <w:highlight w:val="none"/>
                <w:u w:val="none"/>
                <w:vertAlign w:val="baseline"/>
                <w:lang w:val="en-US" w:eastAsia="zh-CN"/>
              </w:rPr>
              <w:t>6</w:t>
            </w:r>
          </w:p>
        </w:tc>
        <w:tc>
          <w:tcPr>
            <w:tcW w:w="3738"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1∶5万矿产地质</w:t>
            </w:r>
            <w:r>
              <w:rPr>
                <w:rFonts w:hint="eastAsia" w:ascii="仿宋_GB2312" w:hAnsi="仿宋_GB2312" w:eastAsia="仿宋_GB2312" w:cs="仿宋_GB2312"/>
                <w:color w:val="auto"/>
                <w:sz w:val="28"/>
                <w:szCs w:val="28"/>
                <w:shd w:val="clear" w:color="auto" w:fill="FFFFFF"/>
                <w:vertAlign w:val="baseline"/>
                <w:lang w:val="en-US" w:eastAsia="zh-CN"/>
              </w:rPr>
              <w:t>调查</w:t>
            </w:r>
            <w:r>
              <w:rPr>
                <w:rFonts w:hint="eastAsia" w:ascii="仿宋_GB2312" w:hAnsi="仿宋_GB2312" w:eastAsia="仿宋_GB2312" w:cs="仿宋_GB2312"/>
                <w:color w:val="auto"/>
                <w:sz w:val="28"/>
                <w:szCs w:val="28"/>
                <w:vertAlign w:val="baseline"/>
                <w:lang w:val="en-US" w:eastAsia="zh-CN"/>
              </w:rPr>
              <w:t>面积</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color w:val="auto"/>
                <w:sz w:val="28"/>
                <w:szCs w:val="28"/>
                <w:highlight w:val="none"/>
                <w:u w:val="none"/>
                <w:vertAlign w:val="baseline"/>
                <w:lang w:eastAsia="zh-CN"/>
              </w:rPr>
            </w:pPr>
            <w:r>
              <w:rPr>
                <w:rFonts w:hint="eastAsia" w:ascii="仿宋_GB2312" w:hAnsi="仿宋_GB2312" w:eastAsia="仿宋_GB2312" w:cs="仿宋_GB2312"/>
                <w:color w:val="auto"/>
                <w:sz w:val="28"/>
                <w:szCs w:val="28"/>
                <w:vertAlign w:val="baseline"/>
                <w:lang w:val="en-US" w:eastAsia="zh-CN"/>
              </w:rPr>
              <w:t>（万平方千米）</w:t>
            </w:r>
          </w:p>
        </w:tc>
        <w:tc>
          <w:tcPr>
            <w:tcW w:w="1500"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color w:val="auto"/>
                <w:sz w:val="28"/>
                <w:szCs w:val="28"/>
                <w:highlight w:val="none"/>
                <w:u w:val="none"/>
                <w:vertAlign w:val="baseline"/>
              </w:rPr>
            </w:pPr>
            <w:r>
              <w:rPr>
                <w:rFonts w:hint="eastAsia" w:ascii="仿宋_GB2312" w:hAnsi="仿宋_GB2312" w:eastAsia="仿宋_GB2312" w:cs="仿宋_GB2312"/>
                <w:color w:val="auto"/>
                <w:sz w:val="28"/>
                <w:szCs w:val="28"/>
                <w:highlight w:val="none"/>
                <w:vertAlign w:val="baseline"/>
              </w:rPr>
              <w:t>〔</w:t>
            </w:r>
            <w:r>
              <w:rPr>
                <w:rFonts w:hint="eastAsia" w:ascii="仿宋_GB2312" w:hAnsi="仿宋_GB2312" w:eastAsia="仿宋_GB2312" w:cs="仿宋_GB2312"/>
                <w:color w:val="auto"/>
                <w:sz w:val="28"/>
                <w:szCs w:val="28"/>
                <w:highlight w:val="none"/>
                <w:vertAlign w:val="baseline"/>
                <w:lang w:val="en-US" w:eastAsia="zh-CN"/>
              </w:rPr>
              <w:t>4331</w:t>
            </w:r>
            <w:r>
              <w:rPr>
                <w:rFonts w:hint="eastAsia" w:ascii="仿宋_GB2312" w:hAnsi="仿宋_GB2312" w:eastAsia="仿宋_GB2312" w:cs="仿宋_GB2312"/>
                <w:color w:val="auto"/>
                <w:sz w:val="28"/>
                <w:szCs w:val="28"/>
                <w:highlight w:val="none"/>
                <w:vertAlign w:val="baseline"/>
              </w:rPr>
              <w:t>〕</w:t>
            </w:r>
          </w:p>
        </w:tc>
        <w:tc>
          <w:tcPr>
            <w:tcW w:w="1850"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color w:val="auto"/>
                <w:sz w:val="28"/>
                <w:szCs w:val="28"/>
                <w:highlight w:val="none"/>
                <w:u w:val="none"/>
                <w:vertAlign w:val="baseline"/>
                <w:lang w:eastAsia="zh-CN"/>
              </w:rPr>
            </w:pPr>
            <w:r>
              <w:rPr>
                <w:rFonts w:hint="eastAsia" w:ascii="仿宋_GB2312" w:hAnsi="仿宋_GB2312" w:eastAsia="仿宋_GB2312" w:cs="仿宋_GB2312"/>
                <w:color w:val="auto"/>
                <w:sz w:val="28"/>
                <w:szCs w:val="28"/>
                <w:vertAlign w:val="baseline"/>
                <w:lang w:eastAsia="zh-CN"/>
              </w:rPr>
              <w:t>落实省厅下达指标</w:t>
            </w: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color w:val="auto"/>
                <w:sz w:val="28"/>
                <w:szCs w:val="28"/>
                <w:highlight w:val="none"/>
                <w:u w:val="none"/>
                <w:vertAlign w:val="baseline"/>
                <w:lang w:eastAsia="zh-CN"/>
              </w:rPr>
            </w:pPr>
            <w:r>
              <w:rPr>
                <w:rFonts w:hint="eastAsia" w:ascii="仿宋_GB2312" w:hAnsi="仿宋_GB2312" w:eastAsia="仿宋_GB2312" w:cs="仿宋_GB2312"/>
                <w:color w:val="FF0000"/>
                <w:sz w:val="28"/>
                <w:szCs w:val="28"/>
                <w:highlight w:val="none"/>
                <w:u w:val="none"/>
                <w:vertAlign w:val="baseline"/>
                <w:lang w:eastAsia="zh-CN"/>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50"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仿宋_GB2312" w:hAnsi="仿宋_GB2312" w:eastAsia="仿宋_GB2312" w:cs="仿宋_GB2312"/>
                <w:color w:val="auto"/>
                <w:sz w:val="28"/>
                <w:szCs w:val="28"/>
                <w:highlight w:val="none"/>
                <w:u w:val="none"/>
                <w:vertAlign w:val="baseline"/>
                <w:lang w:val="en-US" w:eastAsia="zh-CN"/>
              </w:rPr>
            </w:pPr>
            <w:r>
              <w:rPr>
                <w:rFonts w:hint="eastAsia" w:ascii="仿宋_GB2312" w:hAnsi="仿宋_GB2312" w:eastAsia="仿宋_GB2312" w:cs="仿宋_GB2312"/>
                <w:color w:val="auto"/>
                <w:sz w:val="28"/>
                <w:szCs w:val="28"/>
                <w:highlight w:val="none"/>
                <w:u w:val="none"/>
                <w:vertAlign w:val="baseline"/>
                <w:lang w:val="en-US" w:eastAsia="zh-CN"/>
              </w:rPr>
              <w:t>7</w:t>
            </w:r>
          </w:p>
        </w:tc>
        <w:tc>
          <w:tcPr>
            <w:tcW w:w="3738"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color w:val="auto"/>
                <w:sz w:val="28"/>
                <w:szCs w:val="28"/>
                <w:highlight w:val="none"/>
                <w:u w:val="none"/>
                <w:vertAlign w:val="baseline"/>
                <w:lang w:eastAsia="zh-CN"/>
              </w:rPr>
            </w:pPr>
            <w:r>
              <w:rPr>
                <w:rFonts w:hint="eastAsia" w:ascii="仿宋_GB2312" w:hAnsi="仿宋_GB2312" w:eastAsia="仿宋_GB2312" w:cs="仿宋_GB2312"/>
                <w:color w:val="auto"/>
                <w:sz w:val="28"/>
                <w:szCs w:val="28"/>
                <w:vertAlign w:val="baseline"/>
                <w:lang w:eastAsia="zh-CN"/>
              </w:rPr>
              <w:t>新发现战略性大中型矿产地（处）</w:t>
            </w:r>
          </w:p>
        </w:tc>
        <w:tc>
          <w:tcPr>
            <w:tcW w:w="1500"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color w:val="auto"/>
                <w:sz w:val="28"/>
                <w:szCs w:val="28"/>
                <w:highlight w:val="none"/>
                <w:u w:val="none"/>
                <w:vertAlign w:val="baseline"/>
              </w:rPr>
            </w:pPr>
            <w:r>
              <w:rPr>
                <w:rFonts w:hint="eastAsia" w:ascii="仿宋_GB2312" w:hAnsi="仿宋_GB2312" w:eastAsia="仿宋_GB2312" w:cs="仿宋_GB2312"/>
                <w:color w:val="auto"/>
                <w:sz w:val="28"/>
                <w:szCs w:val="28"/>
                <w:highlight w:val="none"/>
                <w:vertAlign w:val="baseline"/>
              </w:rPr>
              <w:t>〔</w:t>
            </w:r>
            <w:r>
              <w:rPr>
                <w:rFonts w:hint="eastAsia" w:ascii="仿宋_GB2312" w:hAnsi="仿宋_GB2312" w:eastAsia="仿宋_GB2312" w:cs="仿宋_GB2312"/>
                <w:color w:val="auto"/>
                <w:sz w:val="28"/>
                <w:szCs w:val="28"/>
                <w:highlight w:val="none"/>
                <w:vertAlign w:val="baseline"/>
                <w:lang w:val="en-US" w:eastAsia="zh-CN"/>
              </w:rPr>
              <w:t>5</w:t>
            </w:r>
            <w:r>
              <w:rPr>
                <w:rFonts w:hint="eastAsia" w:ascii="仿宋_GB2312" w:hAnsi="仿宋_GB2312" w:eastAsia="仿宋_GB2312" w:cs="仿宋_GB2312"/>
                <w:color w:val="auto"/>
                <w:sz w:val="28"/>
                <w:szCs w:val="28"/>
                <w:highlight w:val="none"/>
                <w:vertAlign w:val="baseline"/>
              </w:rPr>
              <w:t>〕</w:t>
            </w:r>
          </w:p>
        </w:tc>
        <w:tc>
          <w:tcPr>
            <w:tcW w:w="1850"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color w:val="auto"/>
                <w:sz w:val="28"/>
                <w:szCs w:val="28"/>
                <w:highlight w:val="none"/>
                <w:u w:val="none"/>
                <w:vertAlign w:val="baseline"/>
                <w:lang w:eastAsia="zh-CN"/>
              </w:rPr>
            </w:pPr>
            <w:r>
              <w:rPr>
                <w:rFonts w:hint="eastAsia" w:ascii="仿宋_GB2312" w:hAnsi="仿宋_GB2312" w:eastAsia="仿宋_GB2312" w:cs="仿宋_GB2312"/>
                <w:color w:val="auto"/>
                <w:sz w:val="28"/>
                <w:szCs w:val="28"/>
                <w:vertAlign w:val="baseline"/>
                <w:lang w:eastAsia="zh-CN"/>
              </w:rPr>
              <w:t>落实省厅下达指标</w:t>
            </w: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color w:val="auto"/>
                <w:sz w:val="28"/>
                <w:szCs w:val="28"/>
                <w:highlight w:val="none"/>
                <w:u w:val="none"/>
                <w:vertAlign w:val="baseline"/>
                <w:lang w:eastAsia="zh-CN"/>
              </w:rPr>
            </w:pPr>
            <w:r>
              <w:rPr>
                <w:rFonts w:hint="eastAsia" w:ascii="仿宋_GB2312" w:hAnsi="仿宋_GB2312" w:eastAsia="仿宋_GB2312" w:cs="仿宋_GB2312"/>
                <w:color w:val="auto"/>
                <w:sz w:val="28"/>
                <w:szCs w:val="28"/>
                <w:highlight w:val="none"/>
                <w:u w:val="none"/>
                <w:vertAlign w:val="baseline"/>
                <w:lang w:eastAsia="zh-CN"/>
              </w:rPr>
              <w:t>预期性</w:t>
            </w:r>
          </w:p>
        </w:tc>
      </w:tr>
    </w:tbl>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28"/>
          <w:szCs w:val="28"/>
          <w:highlight w:val="none"/>
          <w:u w:val="none"/>
          <w:lang w:val="en-US" w:eastAsia="zh-CN"/>
        </w:rPr>
      </w:pPr>
      <w:r>
        <w:rPr>
          <w:rFonts w:hint="eastAsia" w:ascii="仿宋_GB2312" w:hAnsi="仿宋_GB2312" w:eastAsia="仿宋_GB2312" w:cs="仿宋_GB2312"/>
          <w:color w:val="auto"/>
          <w:sz w:val="28"/>
          <w:szCs w:val="28"/>
          <w:highlight w:val="none"/>
          <w:u w:val="none"/>
          <w:lang w:eastAsia="zh-CN"/>
        </w:rPr>
        <w:t>注：</w:t>
      </w:r>
      <w:r>
        <w:rPr>
          <w:rFonts w:hint="eastAsia" w:ascii="仿宋_GB2312" w:hAnsi="仿宋_GB2312" w:eastAsia="仿宋_GB2312" w:cs="仿宋_GB2312"/>
          <w:color w:val="auto"/>
          <w:sz w:val="28"/>
          <w:szCs w:val="28"/>
          <w:highlight w:val="none"/>
          <w:u w:val="none"/>
          <w:lang w:val="en-US" w:eastAsia="zh-CN"/>
        </w:rPr>
        <w:t>1.</w:t>
      </w:r>
      <w:r>
        <w:rPr>
          <w:rFonts w:hint="eastAsia" w:ascii="仿宋_GB2312" w:hAnsi="仿宋_GB2312" w:eastAsia="仿宋_GB2312" w:cs="仿宋_GB2312"/>
          <w:color w:val="auto"/>
          <w:sz w:val="28"/>
          <w:szCs w:val="28"/>
          <w:highlight w:val="none"/>
          <w:u w:val="none"/>
          <w:lang w:eastAsia="zh-CN"/>
        </w:rPr>
        <w:t>〔〕内为</w:t>
      </w:r>
      <w:r>
        <w:rPr>
          <w:rFonts w:hint="eastAsia" w:ascii="仿宋_GB2312" w:hAnsi="仿宋_GB2312" w:eastAsia="仿宋_GB2312" w:cs="仿宋_GB2312"/>
          <w:color w:val="auto"/>
          <w:sz w:val="28"/>
          <w:szCs w:val="28"/>
          <w:highlight w:val="none"/>
          <w:u w:val="none"/>
          <w:lang w:val="en-US" w:eastAsia="zh-CN"/>
        </w:rPr>
        <w:t>5年累计数</w:t>
      </w:r>
    </w:p>
    <w:p>
      <w:pPr>
        <w:pStyle w:val="2"/>
        <w:ind w:firstLine="560" w:firstLineChars="200"/>
        <w:rPr>
          <w:rFonts w:hint="default"/>
          <w:color w:val="FF0000"/>
          <w:lang w:val="en-US" w:eastAsia="zh-CN"/>
        </w:rPr>
      </w:pPr>
      <w:r>
        <w:rPr>
          <w:rFonts w:hint="eastAsia" w:ascii="仿宋_GB2312" w:hAnsi="仿宋_GB2312" w:eastAsia="仿宋_GB2312" w:cs="仿宋_GB2312"/>
          <w:color w:val="FF0000"/>
          <w:sz w:val="28"/>
          <w:szCs w:val="28"/>
          <w:highlight w:val="none"/>
          <w:u w:val="none"/>
          <w:lang w:val="en-US" w:eastAsia="zh-CN"/>
        </w:rPr>
        <w:t>2.三明市永久基本农田保护面积219.552万亩，另外受厦门市、泉州市、莆田市委托异地有偿调剂划定1.65万亩。</w:t>
      </w:r>
    </w:p>
    <w:bookmarkEnd w:id="0"/>
    <w:p>
      <w:pPr>
        <w:pStyle w:val="2"/>
        <w:keepNext w:val="0"/>
        <w:keepLines w:val="0"/>
        <w:pageBreakBefore w:val="0"/>
        <w:widowControl/>
        <w:kinsoku/>
        <w:wordWrap/>
        <w:overflowPunct/>
        <w:topLinePunct/>
        <w:autoSpaceDE w:val="0"/>
        <w:autoSpaceDN/>
        <w:bidi w:val="0"/>
        <w:adjustRightInd w:val="0"/>
        <w:snapToGrid w:val="0"/>
        <w:spacing w:line="600" w:lineRule="exact"/>
        <w:ind w:firstLine="640" w:firstLineChars="200"/>
        <w:textAlignment w:val="baseline"/>
        <w:rPr>
          <w:rFonts w:hint="eastAsia" w:ascii="黑体" w:hAnsi="黑体" w:eastAsia="黑体" w:cs="黑体"/>
          <w:color w:val="auto"/>
          <w:sz w:val="32"/>
          <w:szCs w:val="32"/>
          <w:highlight w:val="none"/>
          <w:u w:val="none"/>
          <w:lang w:eastAsia="zh-CN"/>
        </w:rPr>
      </w:pPr>
      <w:bookmarkStart w:id="1" w:name="_Toc1666688878"/>
      <w:bookmarkStart w:id="2" w:name="_Toc771716571"/>
      <w:bookmarkStart w:id="3" w:name="_Toc1754153201"/>
      <w:r>
        <w:rPr>
          <w:rFonts w:hint="eastAsia" w:ascii="黑体" w:hAnsi="黑体" w:eastAsia="黑体" w:cs="黑体"/>
          <w:color w:val="auto"/>
          <w:sz w:val="32"/>
          <w:szCs w:val="32"/>
          <w:highlight w:val="none"/>
          <w:u w:val="none"/>
          <w:lang w:eastAsia="zh-CN"/>
        </w:rPr>
        <w:t>二、加强国土空间规划引领和管控</w:t>
      </w:r>
    </w:p>
    <w:p>
      <w:pPr>
        <w:pStyle w:val="2"/>
        <w:keepNext w:val="0"/>
        <w:keepLines w:val="0"/>
        <w:pageBreakBefore w:val="0"/>
        <w:widowControl w:val="0"/>
        <w:kinsoku/>
        <w:wordWrap/>
        <w:overflowPunct/>
        <w:topLinePunct/>
        <w:autoSpaceDE w:val="0"/>
        <w:autoSpaceDN/>
        <w:bidi w:val="0"/>
        <w:adjustRightInd w:val="0"/>
        <w:snapToGrid w:val="0"/>
        <w:spacing w:line="600" w:lineRule="exact"/>
        <w:ind w:firstLine="642" w:firstLineChars="200"/>
        <w:textAlignment w:val="baseline"/>
        <w:rPr>
          <w:rFonts w:hint="eastAsia" w:ascii="楷体_GB2312" w:hAnsi="楷体_GB2312" w:eastAsia="楷体_GB2312" w:cs="楷体_GB2312"/>
          <w:b/>
          <w:bCs/>
          <w:color w:val="auto"/>
          <w:sz w:val="32"/>
          <w:szCs w:val="32"/>
          <w:highlight w:val="none"/>
          <w:u w:val="none"/>
          <w:lang w:eastAsia="zh-CN"/>
        </w:rPr>
      </w:pPr>
      <w:r>
        <w:rPr>
          <w:rFonts w:hint="eastAsia" w:ascii="楷体_GB2312" w:hAnsi="楷体_GB2312" w:eastAsia="楷体_GB2312" w:cs="楷体_GB2312"/>
          <w:b/>
          <w:bCs/>
          <w:color w:val="auto"/>
          <w:sz w:val="32"/>
          <w:szCs w:val="32"/>
          <w:highlight w:val="none"/>
          <w:u w:val="none"/>
          <w:lang w:eastAsia="zh-CN"/>
        </w:rPr>
        <w:t>（一）优化国土空间发展格局</w:t>
      </w:r>
    </w:p>
    <w:p>
      <w:pPr>
        <w:pStyle w:val="2"/>
        <w:keepNext w:val="0"/>
        <w:keepLines w:val="0"/>
        <w:pageBreakBefore w:val="0"/>
        <w:widowControl w:val="0"/>
        <w:kinsoku/>
        <w:wordWrap/>
        <w:overflowPunct/>
        <w:topLinePunct/>
        <w:autoSpaceDE w:val="0"/>
        <w:autoSpaceDN/>
        <w:bidi w:val="0"/>
        <w:adjustRightInd w:val="0"/>
        <w:snapToGrid w:val="0"/>
        <w:spacing w:line="600" w:lineRule="exact"/>
        <w:ind w:firstLine="640" w:firstLineChars="200"/>
        <w:textAlignment w:val="baseline"/>
        <w:rPr>
          <w:rFonts w:hint="eastAsia"/>
          <w:lang w:eastAsia="zh-CN"/>
        </w:rPr>
      </w:pPr>
      <w:r>
        <w:rPr>
          <w:rFonts w:hint="eastAsia" w:ascii="仿宋_GB2312" w:hAnsi="仿宋_GB2312" w:eastAsia="仿宋_GB2312" w:cs="仿宋_GB2312"/>
          <w:color w:val="auto"/>
          <w:sz w:val="32"/>
          <w:szCs w:val="32"/>
          <w:highlight w:val="none"/>
          <w:u w:val="none"/>
          <w:lang w:eastAsia="zh-CN"/>
        </w:rPr>
        <w:t>落实主体功能区战略，三元、沙县、永安为省级城市化地区，明溪、清流、尤溪、将乐和建宁为国家级农产品主产区，宁化、泰宁为国家级重点生态功能区,大田为省级重点生态功能区。</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9288" w:type="dxa"/>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hint="default" w:ascii="黑体" w:hAnsi="黑体" w:eastAsia="黑体" w:cs="黑体"/>
                <w:color w:val="FF0000"/>
                <w:sz w:val="28"/>
                <w:szCs w:val="28"/>
                <w:highlight w:val="none"/>
                <w:u w:val="none"/>
                <w:shd w:val="clear" w:color="auto" w:fill="FFFFFF"/>
                <w:vertAlign w:val="baseline"/>
                <w:lang w:val="en-US" w:eastAsia="zh-CN"/>
              </w:rPr>
            </w:pPr>
            <w:r>
              <w:rPr>
                <w:rFonts w:hint="eastAsia" w:ascii="黑体" w:hAnsi="黑体" w:eastAsia="黑体" w:cs="黑体"/>
                <w:color w:val="auto"/>
                <w:sz w:val="28"/>
                <w:szCs w:val="28"/>
                <w:highlight w:val="none"/>
                <w:u w:val="none"/>
                <w:shd w:val="clear" w:color="auto" w:fill="FFFFFF"/>
                <w:vertAlign w:val="baseline"/>
                <w:lang w:val="en-US" w:eastAsia="zh-CN"/>
              </w:rPr>
              <w:t>专栏1  主体功能区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8" w:hRule="atLeast"/>
        </w:trPr>
        <w:tc>
          <w:tcPr>
            <w:tcW w:w="9288" w:type="dxa"/>
            <w:vAlign w:val="center"/>
          </w:tcPr>
          <w:p>
            <w:pPr>
              <w:keepNext w:val="0"/>
              <w:keepLines w:val="0"/>
              <w:pageBreakBefore w:val="0"/>
              <w:widowControl/>
              <w:kinsoku/>
              <w:wordWrap/>
              <w:overflowPunct/>
              <w:topLinePunct w:val="0"/>
              <w:autoSpaceDE w:val="0"/>
              <w:autoSpaceDN w:val="0"/>
              <w:bidi w:val="0"/>
              <w:adjustRightInd w:val="0"/>
              <w:snapToGrid w:val="0"/>
              <w:spacing w:line="460" w:lineRule="exact"/>
              <w:ind w:firstLine="562" w:firstLineChars="200"/>
              <w:jc w:val="left"/>
              <w:textAlignment w:val="baseline"/>
              <w:rPr>
                <w:rFonts w:hint="eastAsia" w:ascii="仿宋_GB2312" w:hAnsi="仿宋_GB2312" w:eastAsia="仿宋_GB2312" w:cs="仿宋_GB2312"/>
                <w:b w:val="0"/>
                <w:bCs w:val="0"/>
                <w:color w:val="FF0000"/>
                <w:sz w:val="32"/>
                <w:szCs w:val="32"/>
                <w:highlight w:val="none"/>
                <w:u w:val="none"/>
                <w:shd w:val="clear" w:color="auto" w:fill="FFFFFF"/>
                <w:vertAlign w:val="baseline"/>
                <w:lang w:val="en-US" w:eastAsia="zh-CN"/>
              </w:rPr>
            </w:pPr>
            <w:r>
              <w:rPr>
                <w:rFonts w:hint="eastAsia" w:ascii="楷体_GB2312" w:hAnsi="楷体_GB2312" w:eastAsia="楷体_GB2312" w:cs="楷体_GB2312"/>
                <w:b/>
                <w:bCs/>
                <w:color w:val="auto"/>
                <w:sz w:val="28"/>
                <w:szCs w:val="28"/>
                <w:highlight w:val="none"/>
                <w:u w:val="none"/>
                <w:shd w:val="clear" w:color="auto" w:fill="FFFFFF"/>
                <w:vertAlign w:val="baseline"/>
                <w:lang w:val="en-US" w:eastAsia="zh-CN"/>
              </w:rPr>
              <w:t>细化主体功能分区。</w:t>
            </w:r>
            <w:r>
              <w:rPr>
                <w:rFonts w:hint="eastAsia" w:ascii="仿宋_GB2312" w:hAnsi="仿宋_GB2312" w:eastAsia="仿宋_GB2312" w:cs="仿宋_GB2312"/>
                <w:b w:val="0"/>
                <w:bCs w:val="0"/>
                <w:color w:val="auto"/>
                <w:sz w:val="28"/>
                <w:szCs w:val="28"/>
                <w:highlight w:val="none"/>
                <w:u w:val="none"/>
                <w:shd w:val="clear" w:color="auto" w:fill="FFFFFF"/>
                <w:vertAlign w:val="baseline"/>
                <w:lang w:val="en-US" w:eastAsia="zh-CN"/>
              </w:rPr>
              <w:t>以乡镇（街道）为单元细化三类主体功能区，在全市共划分56个乡镇（街道）为农产品主产区，着力保护耕地，稳定粮食生产，全面推进乡村振兴；划分33个乡镇（街道，含龙栖山国家级自然保护区）为重点生态功能区，重点保护和修复生态环境、提供生态产品和服务，加强水源涵养、水土保持和生物多样性保护；划分53个乡镇（街道）为城市化地区，推动经济可持续发展，壮大城市综合实力，加快推进城镇化进程。</w:t>
            </w:r>
          </w:p>
        </w:tc>
      </w:tr>
      <w:bookmarkEnd w:id="1"/>
    </w:tbl>
    <w:p>
      <w:pPr>
        <w:pStyle w:val="2"/>
        <w:keepNext w:val="0"/>
        <w:keepLines w:val="0"/>
        <w:pageBreakBefore w:val="0"/>
        <w:widowControl/>
        <w:kinsoku/>
        <w:wordWrap/>
        <w:overflowPunct/>
        <w:topLinePunct/>
        <w:autoSpaceDE w:val="0"/>
        <w:autoSpaceDN/>
        <w:bidi w:val="0"/>
        <w:adjustRightInd w:val="0"/>
        <w:snapToGrid w:val="0"/>
        <w:spacing w:line="600" w:lineRule="exact"/>
        <w:ind w:firstLine="640" w:firstLineChars="200"/>
        <w:textAlignment w:val="baseline"/>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构建“一核一环多点”的市域国土空间开发保护总体格局，三元、沙县和永安打造三明市域核心发展区，整体促进产业升级和城市服务水平提高；以泰宁大金湖为区域中心，整合泰宁、建宁、将乐等三县优质旅游资源，创建“环大金湖旅游度假区”；其他县培育发展特色优势产业，提高县城辐射带动乡村能力。</w:t>
      </w:r>
    </w:p>
    <w:p>
      <w:pPr>
        <w:pStyle w:val="2"/>
        <w:keepNext w:val="0"/>
        <w:keepLines w:val="0"/>
        <w:pageBreakBefore w:val="0"/>
        <w:widowControl/>
        <w:kinsoku/>
        <w:wordWrap/>
        <w:overflowPunct/>
        <w:topLinePunct/>
        <w:autoSpaceDE w:val="0"/>
        <w:autoSpaceDN/>
        <w:bidi w:val="0"/>
        <w:adjustRightInd w:val="0"/>
        <w:snapToGrid w:val="0"/>
        <w:spacing w:line="600" w:lineRule="exact"/>
        <w:ind w:firstLine="640" w:firstLineChars="200"/>
        <w:textAlignment w:val="baseline"/>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加强区域规划协同，积极融入闽西南协同发展区，深化沪明对口合作，强化泉明山海协作对接，加强闽赣省际毗邻区域协同。</w:t>
      </w:r>
    </w:p>
    <w:p>
      <w:pPr>
        <w:pStyle w:val="2"/>
        <w:keepNext w:val="0"/>
        <w:keepLines w:val="0"/>
        <w:pageBreakBefore w:val="0"/>
        <w:widowControl/>
        <w:kinsoku/>
        <w:wordWrap/>
        <w:overflowPunct/>
        <w:topLinePunct/>
        <w:autoSpaceDE w:val="0"/>
        <w:autoSpaceDN/>
        <w:bidi w:val="0"/>
        <w:adjustRightInd w:val="0"/>
        <w:snapToGrid w:val="0"/>
        <w:spacing w:line="600" w:lineRule="exact"/>
        <w:ind w:firstLine="642" w:firstLineChars="200"/>
        <w:textAlignment w:val="baseline"/>
        <w:rPr>
          <w:rFonts w:hint="eastAsia" w:ascii="楷体_GB2312" w:hAnsi="楷体_GB2312" w:eastAsia="楷体_GB2312" w:cs="楷体_GB2312"/>
          <w:b/>
          <w:bCs/>
          <w:color w:val="auto"/>
          <w:sz w:val="32"/>
          <w:szCs w:val="32"/>
          <w:highlight w:val="none"/>
          <w:u w:val="none"/>
          <w:lang w:eastAsia="zh-CN"/>
        </w:rPr>
      </w:pPr>
      <w:r>
        <w:rPr>
          <w:rFonts w:hint="eastAsia" w:ascii="楷体_GB2312" w:hAnsi="楷体_GB2312" w:eastAsia="楷体_GB2312" w:cs="楷体_GB2312"/>
          <w:b/>
          <w:bCs/>
          <w:color w:val="auto"/>
          <w:sz w:val="32"/>
          <w:szCs w:val="32"/>
          <w:highlight w:val="none"/>
          <w:u w:val="none"/>
          <w:lang w:eastAsia="zh-CN"/>
        </w:rPr>
        <w:t>（二）完善规划体系和实施监督机制</w:t>
      </w:r>
    </w:p>
    <w:p>
      <w:pPr>
        <w:pStyle w:val="2"/>
        <w:keepNext w:val="0"/>
        <w:keepLines w:val="0"/>
        <w:pageBreakBefore w:val="0"/>
        <w:widowControl/>
        <w:kinsoku/>
        <w:wordWrap/>
        <w:overflowPunct/>
        <w:topLinePunct/>
        <w:autoSpaceDE w:val="0"/>
        <w:autoSpaceDN/>
        <w:bidi w:val="0"/>
        <w:adjustRightInd w:val="0"/>
        <w:snapToGrid w:val="0"/>
        <w:spacing w:line="600" w:lineRule="exact"/>
        <w:ind w:firstLine="640" w:firstLineChars="200"/>
        <w:textAlignment w:val="baseline"/>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衔接“十五五”发展规划及专项规划，分级完善市、县国土空间总体规划。优化详细规划编制单元，强化详细规划与城市更新的有效衔接，建立详细规划动态维护机制，提高详细规划响应效率。推进乡村规划管理，加强各类专项规划之间的空间衔接，保障重大项目科学选址、精准落位。</w:t>
      </w:r>
    </w:p>
    <w:p>
      <w:pPr>
        <w:pStyle w:val="2"/>
        <w:keepNext w:val="0"/>
        <w:keepLines w:val="0"/>
        <w:pageBreakBefore w:val="0"/>
        <w:widowControl/>
        <w:kinsoku/>
        <w:wordWrap/>
        <w:overflowPunct/>
        <w:topLinePunct/>
        <w:autoSpaceDE w:val="0"/>
        <w:autoSpaceDN/>
        <w:bidi w:val="0"/>
        <w:adjustRightInd w:val="0"/>
        <w:snapToGrid w:val="0"/>
        <w:spacing w:line="600" w:lineRule="exact"/>
        <w:ind w:firstLine="640" w:firstLineChars="200"/>
        <w:textAlignment w:val="baseline"/>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落实国土空间规划定期体检评估制度，正向优化“三区三线”，优化用地结构和布局、更新重点项目清单。强化国土空间规划实施监督管理，提升国土空间规划实施监督能力。推动建设项目用地审批、规划许可、规划用地核实等全流程管理，强化用途管制和规划许可监管。</w:t>
      </w:r>
    </w:p>
    <w:p>
      <w:pPr>
        <w:pStyle w:val="2"/>
        <w:keepNext w:val="0"/>
        <w:keepLines w:val="0"/>
        <w:pageBreakBefore w:val="0"/>
        <w:widowControl/>
        <w:kinsoku/>
        <w:wordWrap/>
        <w:overflowPunct/>
        <w:topLinePunct/>
        <w:autoSpaceDE w:val="0"/>
        <w:autoSpaceDN/>
        <w:bidi w:val="0"/>
        <w:adjustRightInd w:val="0"/>
        <w:snapToGrid w:val="0"/>
        <w:spacing w:line="600" w:lineRule="exact"/>
        <w:ind w:firstLine="642" w:firstLineChars="200"/>
        <w:textAlignment w:val="baseline"/>
        <w:rPr>
          <w:rFonts w:hint="eastAsia" w:ascii="楷体_GB2312" w:hAnsi="楷体_GB2312" w:eastAsia="楷体_GB2312" w:cs="楷体_GB2312"/>
          <w:b/>
          <w:bCs/>
          <w:color w:val="auto"/>
          <w:sz w:val="32"/>
          <w:szCs w:val="32"/>
          <w:highlight w:val="none"/>
          <w:u w:val="none"/>
          <w:lang w:eastAsia="zh-CN"/>
        </w:rPr>
      </w:pPr>
      <w:r>
        <w:rPr>
          <w:rFonts w:hint="eastAsia" w:ascii="楷体_GB2312" w:hAnsi="楷体_GB2312" w:eastAsia="楷体_GB2312" w:cs="楷体_GB2312"/>
          <w:b/>
          <w:bCs/>
          <w:color w:val="auto"/>
          <w:sz w:val="32"/>
          <w:szCs w:val="32"/>
          <w:highlight w:val="none"/>
          <w:u w:val="none"/>
          <w:lang w:eastAsia="zh-CN"/>
        </w:rPr>
        <w:t>（三）优化国土空间用途管制制度</w:t>
      </w:r>
    </w:p>
    <w:p>
      <w:pPr>
        <w:pStyle w:val="2"/>
        <w:keepNext w:val="0"/>
        <w:keepLines w:val="0"/>
        <w:pageBreakBefore w:val="0"/>
        <w:widowControl/>
        <w:kinsoku/>
        <w:wordWrap/>
        <w:overflowPunct/>
        <w:topLinePunct/>
        <w:autoSpaceDE w:val="0"/>
        <w:autoSpaceDN/>
        <w:bidi w:val="0"/>
        <w:adjustRightInd w:val="0"/>
        <w:snapToGrid w:val="0"/>
        <w:spacing w:line="600" w:lineRule="exact"/>
        <w:ind w:firstLine="640" w:firstLineChars="200"/>
        <w:textAlignment w:val="baseline"/>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以全域国土空间和各类自然资源为对象，分区分类健全用途管制和规划许可制度，实现用途管制类型全面覆盖、边界清晰准确、规则统一衔接。在城镇开发边界内的建设，实行“详细规划+规划许可”的管制方式；在城镇开发边界外的建设，按照主导用途分区，实行“详细规划+规划许可”和“约束指标+分区准入”的管制方式。</w:t>
      </w:r>
    </w:p>
    <w:p>
      <w:pPr>
        <w:pStyle w:val="2"/>
        <w:keepNext w:val="0"/>
        <w:keepLines w:val="0"/>
        <w:pageBreakBefore w:val="0"/>
        <w:widowControl/>
        <w:kinsoku/>
        <w:wordWrap/>
        <w:overflowPunct/>
        <w:topLinePunct/>
        <w:autoSpaceDE w:val="0"/>
        <w:autoSpaceDN/>
        <w:bidi w:val="0"/>
        <w:adjustRightInd w:val="0"/>
        <w:snapToGrid w:val="0"/>
        <w:spacing w:line="600" w:lineRule="exact"/>
        <w:ind w:firstLine="642" w:firstLineChars="200"/>
        <w:textAlignment w:val="baseline"/>
        <w:rPr>
          <w:rFonts w:hint="eastAsia" w:ascii="楷体_GB2312" w:hAnsi="楷体_GB2312" w:eastAsia="楷体_GB2312" w:cs="楷体_GB2312"/>
          <w:b/>
          <w:bCs/>
          <w:color w:val="auto"/>
          <w:sz w:val="32"/>
          <w:szCs w:val="32"/>
          <w:highlight w:val="none"/>
          <w:u w:val="none"/>
          <w:lang w:eastAsia="zh-CN"/>
        </w:rPr>
      </w:pPr>
      <w:r>
        <w:rPr>
          <w:rFonts w:hint="eastAsia" w:ascii="楷体_GB2312" w:hAnsi="楷体_GB2312" w:eastAsia="楷体_GB2312" w:cs="楷体_GB2312"/>
          <w:b/>
          <w:bCs/>
          <w:color w:val="auto"/>
          <w:sz w:val="32"/>
          <w:szCs w:val="32"/>
          <w:highlight w:val="none"/>
          <w:u w:val="none"/>
          <w:lang w:eastAsia="zh-CN"/>
        </w:rPr>
        <w:t>（四）深化审批制度改革</w:t>
      </w:r>
    </w:p>
    <w:p>
      <w:pPr>
        <w:pStyle w:val="2"/>
        <w:keepNext w:val="0"/>
        <w:keepLines w:val="0"/>
        <w:pageBreakBefore w:val="0"/>
        <w:widowControl/>
        <w:kinsoku/>
        <w:wordWrap/>
        <w:overflowPunct/>
        <w:topLinePunct/>
        <w:autoSpaceDE w:val="0"/>
        <w:autoSpaceDN/>
        <w:bidi w:val="0"/>
        <w:adjustRightInd w:val="0"/>
        <w:snapToGrid w:val="0"/>
        <w:spacing w:line="600" w:lineRule="exact"/>
        <w:ind w:firstLine="640" w:firstLineChars="200"/>
        <w:textAlignment w:val="baseline"/>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完善现有工程设计方案并联审批、项目竣工联合验收、土壤污染联动监管等跨部门协同工作机制。建设审批服务标准化体系。落实并完善“窗口无否决权”、“一次性告知”、“容缺受理，提前服务”等工作制度，不断提升服务效率与群众满意度。</w:t>
      </w:r>
    </w:p>
    <w:p>
      <w:pPr>
        <w:pStyle w:val="2"/>
        <w:keepNext w:val="0"/>
        <w:keepLines w:val="0"/>
        <w:pageBreakBefore w:val="0"/>
        <w:widowControl/>
        <w:kinsoku/>
        <w:wordWrap/>
        <w:overflowPunct/>
        <w:topLinePunct/>
        <w:autoSpaceDE w:val="0"/>
        <w:autoSpaceDN/>
        <w:bidi w:val="0"/>
        <w:adjustRightInd w:val="0"/>
        <w:snapToGrid w:val="0"/>
        <w:spacing w:line="600" w:lineRule="exact"/>
        <w:ind w:firstLine="640" w:firstLineChars="200"/>
        <w:textAlignment w:val="baseline"/>
        <w:rPr>
          <w:rFonts w:hint="eastAsia" w:ascii="黑体" w:hAnsi="黑体" w:eastAsia="黑体" w:cs="黑体"/>
          <w:color w:val="auto"/>
          <w:sz w:val="32"/>
          <w:szCs w:val="32"/>
          <w:highlight w:val="none"/>
          <w:u w:val="none"/>
          <w:lang w:eastAsia="zh-CN"/>
        </w:rPr>
      </w:pPr>
      <w:r>
        <w:rPr>
          <w:rFonts w:hint="eastAsia" w:ascii="黑体" w:hAnsi="黑体" w:eastAsia="黑体" w:cs="黑体"/>
          <w:color w:val="auto"/>
          <w:sz w:val="32"/>
          <w:szCs w:val="32"/>
          <w:highlight w:val="none"/>
          <w:u w:val="none"/>
          <w:lang w:eastAsia="zh-CN"/>
        </w:rPr>
        <w:t>三、严守耕地保护红线</w:t>
      </w:r>
      <w:bookmarkEnd w:id="2"/>
      <w:bookmarkEnd w:id="3"/>
    </w:p>
    <w:p>
      <w:pPr>
        <w:pStyle w:val="2"/>
        <w:keepNext w:val="0"/>
        <w:keepLines w:val="0"/>
        <w:pageBreakBefore w:val="0"/>
        <w:widowControl/>
        <w:kinsoku/>
        <w:wordWrap/>
        <w:overflowPunct/>
        <w:topLinePunct/>
        <w:autoSpaceDE w:val="0"/>
        <w:autoSpaceDN/>
        <w:bidi w:val="0"/>
        <w:adjustRightInd w:val="0"/>
        <w:snapToGrid w:val="0"/>
        <w:spacing w:line="600" w:lineRule="exact"/>
        <w:ind w:firstLine="642" w:firstLineChars="200"/>
        <w:textAlignment w:val="baseline"/>
        <w:rPr>
          <w:rFonts w:hint="eastAsia" w:ascii="楷体_GB2312" w:hAnsi="楷体_GB2312" w:eastAsia="楷体_GB2312" w:cs="楷体_GB2312"/>
          <w:b/>
          <w:bCs/>
          <w:color w:val="auto"/>
          <w:sz w:val="32"/>
          <w:szCs w:val="32"/>
          <w:highlight w:val="none"/>
          <w:u w:val="none"/>
          <w:lang w:eastAsia="zh-CN"/>
        </w:rPr>
      </w:pPr>
      <w:bookmarkStart w:id="4" w:name="_Toc915986840"/>
      <w:r>
        <w:rPr>
          <w:rFonts w:hint="eastAsia" w:ascii="楷体_GB2312" w:hAnsi="楷体_GB2312" w:eastAsia="楷体_GB2312" w:cs="楷体_GB2312"/>
          <w:b/>
          <w:bCs/>
          <w:color w:val="auto"/>
          <w:sz w:val="32"/>
          <w:szCs w:val="32"/>
          <w:highlight w:val="none"/>
          <w:u w:val="none"/>
          <w:lang w:eastAsia="zh-CN"/>
        </w:rPr>
        <w:t>（一）</w:t>
      </w:r>
      <w:r>
        <w:rPr>
          <w:rFonts w:hint="eastAsia" w:ascii="楷体_GB2312" w:hAnsi="楷体_GB2312" w:eastAsia="楷体_GB2312" w:cs="楷体_GB2312"/>
          <w:b/>
          <w:bCs/>
          <w:color w:val="auto"/>
          <w:sz w:val="32"/>
          <w:szCs w:val="32"/>
          <w:highlight w:val="none"/>
          <w:u w:val="none"/>
          <w:lang w:val="en-US" w:eastAsia="zh-CN"/>
        </w:rPr>
        <w:t>全面</w:t>
      </w:r>
      <w:r>
        <w:rPr>
          <w:rFonts w:hint="eastAsia" w:ascii="楷体_GB2312" w:hAnsi="楷体_GB2312" w:eastAsia="楷体_GB2312" w:cs="楷体_GB2312"/>
          <w:b/>
          <w:bCs/>
          <w:color w:val="auto"/>
          <w:sz w:val="32"/>
          <w:szCs w:val="32"/>
          <w:highlight w:val="none"/>
          <w:u w:val="none"/>
          <w:lang w:eastAsia="zh-CN"/>
        </w:rPr>
        <w:t>压实耕地保护责任</w:t>
      </w:r>
      <w:bookmarkEnd w:id="4"/>
    </w:p>
    <w:p>
      <w:pPr>
        <w:pStyle w:val="2"/>
        <w:keepNext w:val="0"/>
        <w:keepLines w:val="0"/>
        <w:pageBreakBefore w:val="0"/>
        <w:widowControl/>
        <w:kinsoku/>
        <w:wordWrap/>
        <w:overflowPunct/>
        <w:topLinePunct/>
        <w:autoSpaceDE w:val="0"/>
        <w:autoSpaceDN/>
        <w:bidi w:val="0"/>
        <w:adjustRightInd w:val="0"/>
        <w:snapToGrid w:val="0"/>
        <w:spacing w:line="600" w:lineRule="exact"/>
        <w:ind w:firstLine="640" w:firstLineChars="200"/>
        <w:textAlignment w:val="baseline"/>
        <w:rPr>
          <w:rFonts w:hint="default" w:ascii="仿宋_GB2312" w:hAnsi="仿宋_GB2312" w:eastAsia="仿宋_GB2312" w:cs="仿宋_GB2312"/>
          <w:color w:val="auto"/>
          <w:sz w:val="32"/>
          <w:szCs w:val="32"/>
          <w:highlight w:val="none"/>
          <w:u w:val="none"/>
          <w:lang w:val="en-US" w:eastAsia="zh-CN"/>
        </w:rPr>
      </w:pPr>
      <w:bookmarkStart w:id="5" w:name="_Toc951162316"/>
      <w:r>
        <w:rPr>
          <w:rFonts w:hint="eastAsia" w:ascii="仿宋_GB2312" w:hAnsi="仿宋_GB2312" w:eastAsia="仿宋_GB2312" w:cs="仿宋_GB2312"/>
          <w:color w:val="auto"/>
          <w:sz w:val="32"/>
          <w:szCs w:val="32"/>
          <w:highlight w:val="none"/>
          <w:u w:val="none"/>
          <w:lang w:eastAsia="zh-CN"/>
        </w:rPr>
        <w:t>强化落实耕地保护党政同责。</w:t>
      </w:r>
      <w:r>
        <w:rPr>
          <w:rFonts w:hint="eastAsia" w:ascii="仿宋_GB2312" w:hAnsi="仿宋_GB2312" w:eastAsia="仿宋_GB2312" w:cs="仿宋_GB2312"/>
          <w:color w:val="auto"/>
          <w:sz w:val="32"/>
          <w:szCs w:val="32"/>
          <w:highlight w:val="none"/>
          <w:u w:val="none"/>
          <w:lang w:val="en-US" w:eastAsia="zh-CN"/>
        </w:rPr>
        <w:t>将耕地和永久基本农田保护目标任务，足额带位置分解下达至各县（市、区）；严格耕地保护和粮食安全责任制考核，考核结果与资金分配、项目审批等相挂钩。</w:t>
      </w:r>
    </w:p>
    <w:p>
      <w:pPr>
        <w:pStyle w:val="2"/>
        <w:keepNext w:val="0"/>
        <w:keepLines w:val="0"/>
        <w:pageBreakBefore w:val="0"/>
        <w:widowControl/>
        <w:kinsoku/>
        <w:wordWrap/>
        <w:overflowPunct/>
        <w:topLinePunct/>
        <w:autoSpaceDE w:val="0"/>
        <w:autoSpaceDN/>
        <w:bidi w:val="0"/>
        <w:adjustRightInd w:val="0"/>
        <w:snapToGrid w:val="0"/>
        <w:spacing w:line="600" w:lineRule="exact"/>
        <w:ind w:firstLine="642" w:firstLineChars="200"/>
        <w:textAlignment w:val="baseline"/>
        <w:rPr>
          <w:rFonts w:hint="default" w:ascii="楷体_GB2312" w:hAnsi="楷体_GB2312" w:eastAsia="楷体_GB2312" w:cs="楷体_GB2312"/>
          <w:b/>
          <w:bCs/>
          <w:color w:val="auto"/>
          <w:sz w:val="32"/>
          <w:szCs w:val="32"/>
          <w:highlight w:val="none"/>
          <w:u w:val="none"/>
          <w:lang w:val="en-US" w:eastAsia="zh-CN"/>
        </w:rPr>
      </w:pPr>
      <w:r>
        <w:rPr>
          <w:rFonts w:hint="eastAsia" w:ascii="楷体_GB2312" w:hAnsi="楷体_GB2312" w:eastAsia="楷体_GB2312" w:cs="楷体_GB2312"/>
          <w:b/>
          <w:bCs/>
          <w:color w:val="auto"/>
          <w:sz w:val="32"/>
          <w:szCs w:val="32"/>
          <w:highlight w:val="none"/>
          <w:u w:val="none"/>
          <w:lang w:eastAsia="zh-CN"/>
        </w:rPr>
        <w:t>（二）</w:t>
      </w:r>
      <w:r>
        <w:rPr>
          <w:rFonts w:hint="eastAsia" w:ascii="楷体_GB2312" w:hAnsi="楷体_GB2312" w:eastAsia="楷体_GB2312" w:cs="楷体_GB2312"/>
          <w:b/>
          <w:bCs/>
          <w:color w:val="auto"/>
          <w:sz w:val="32"/>
          <w:szCs w:val="32"/>
          <w:highlight w:val="none"/>
          <w:u w:val="none"/>
          <w:lang w:val="en-US" w:eastAsia="zh-CN"/>
        </w:rPr>
        <w:t>落实耕地占补平衡制度</w:t>
      </w:r>
      <w:bookmarkEnd w:id="5"/>
    </w:p>
    <w:p>
      <w:pPr>
        <w:pStyle w:val="2"/>
        <w:keepNext w:val="0"/>
        <w:keepLines w:val="0"/>
        <w:pageBreakBefore w:val="0"/>
        <w:widowControl/>
        <w:kinsoku/>
        <w:wordWrap/>
        <w:overflowPunct/>
        <w:topLinePunct/>
        <w:autoSpaceDE w:val="0"/>
        <w:autoSpaceDN/>
        <w:bidi w:val="0"/>
        <w:adjustRightInd w:val="0"/>
        <w:snapToGrid w:val="0"/>
        <w:spacing w:line="600" w:lineRule="exact"/>
        <w:ind w:firstLine="640" w:firstLineChars="200"/>
        <w:textAlignment w:val="baseline"/>
        <w:rPr>
          <w:rFonts w:hint="eastAsia" w:ascii="仿宋_GB2312" w:hAnsi="仿宋_GB2312" w:eastAsia="仿宋_GB2312" w:cs="仿宋_GB2312"/>
          <w:color w:val="auto"/>
          <w:sz w:val="32"/>
          <w:szCs w:val="32"/>
          <w:highlight w:val="none"/>
          <w:u w:val="none"/>
          <w:lang w:val="en-US" w:eastAsia="zh-CN"/>
        </w:rPr>
      </w:pPr>
      <w:bookmarkStart w:id="6" w:name="_Toc134100468"/>
      <w:r>
        <w:rPr>
          <w:rFonts w:hint="eastAsia" w:ascii="仿宋_GB2312" w:hAnsi="仿宋_GB2312" w:eastAsia="仿宋_GB2312" w:cs="仿宋_GB2312"/>
          <w:color w:val="auto"/>
          <w:sz w:val="32"/>
          <w:szCs w:val="32"/>
          <w:highlight w:val="none"/>
          <w:u w:val="none"/>
          <w:lang w:val="en-US" w:eastAsia="zh-CN"/>
        </w:rPr>
        <w:t>将非农建设、造林种树、种果种茶等各类占用耕地行为统一纳入耕地占补平衡管理，全面实行“以补定占”管控。坚持“恢复为主、垦造为辅</w:t>
      </w:r>
      <w:r>
        <w:rPr>
          <w:rFonts w:hint="default" w:ascii="仿宋_GB2312" w:hAnsi="仿宋_GB2312" w:eastAsia="仿宋_GB2312" w:cs="仿宋_GB2312"/>
          <w:color w:val="auto"/>
          <w:sz w:val="32"/>
          <w:szCs w:val="32"/>
          <w:highlight w:val="none"/>
          <w:u w:val="none"/>
          <w:lang w:val="en-US" w:eastAsia="zh-CN"/>
        </w:rPr>
        <w:t>”</w:t>
      </w:r>
      <w:r>
        <w:rPr>
          <w:rFonts w:hint="eastAsia" w:ascii="仿宋_GB2312" w:hAnsi="仿宋_GB2312" w:eastAsia="仿宋_GB2312" w:cs="仿宋_GB2312"/>
          <w:color w:val="auto"/>
          <w:sz w:val="32"/>
          <w:szCs w:val="32"/>
          <w:highlight w:val="none"/>
          <w:u w:val="none"/>
          <w:lang w:val="en-US" w:eastAsia="zh-CN"/>
        </w:rPr>
        <w:t>原则，稳妥推进补充优质耕地，强化耕地总量动态平衡。严控非农建设占用耕地，引导不占或少占耕地，确保年度批准建设占用耕地比例低于全省平均水平。</w:t>
      </w:r>
    </w:p>
    <w:p>
      <w:pPr>
        <w:pStyle w:val="2"/>
        <w:keepNext w:val="0"/>
        <w:keepLines w:val="0"/>
        <w:pageBreakBefore w:val="0"/>
        <w:widowControl/>
        <w:kinsoku/>
        <w:wordWrap/>
        <w:overflowPunct/>
        <w:topLinePunct/>
        <w:autoSpaceDE w:val="0"/>
        <w:autoSpaceDN/>
        <w:bidi w:val="0"/>
        <w:adjustRightInd w:val="0"/>
        <w:snapToGrid w:val="0"/>
        <w:spacing w:line="600" w:lineRule="exact"/>
        <w:ind w:firstLine="642" w:firstLineChars="200"/>
        <w:textAlignment w:val="baseline"/>
        <w:rPr>
          <w:rFonts w:hint="eastAsia" w:ascii="楷体_GB2312" w:hAnsi="楷体_GB2312" w:eastAsia="楷体_GB2312" w:cs="楷体_GB2312"/>
          <w:b/>
          <w:bCs/>
          <w:color w:val="auto"/>
          <w:sz w:val="32"/>
          <w:szCs w:val="32"/>
          <w:highlight w:val="none"/>
          <w:u w:val="none"/>
          <w:lang w:eastAsia="zh-CN"/>
        </w:rPr>
      </w:pPr>
      <w:r>
        <w:rPr>
          <w:rFonts w:hint="eastAsia" w:ascii="楷体_GB2312" w:hAnsi="楷体_GB2312" w:eastAsia="楷体_GB2312" w:cs="楷体_GB2312"/>
          <w:b/>
          <w:bCs/>
          <w:color w:val="auto"/>
          <w:sz w:val="32"/>
          <w:szCs w:val="32"/>
          <w:highlight w:val="none"/>
          <w:u w:val="none"/>
          <w:lang w:eastAsia="zh-CN"/>
        </w:rPr>
        <w:t>（三）持续优化耕地</w:t>
      </w:r>
      <w:r>
        <w:rPr>
          <w:rFonts w:hint="eastAsia" w:ascii="楷体_GB2312" w:hAnsi="楷体_GB2312" w:eastAsia="楷体_GB2312" w:cs="楷体_GB2312"/>
          <w:b/>
          <w:bCs/>
          <w:color w:val="auto"/>
          <w:sz w:val="32"/>
          <w:szCs w:val="32"/>
          <w:highlight w:val="none"/>
          <w:u w:val="none"/>
          <w:lang w:val="en-US" w:eastAsia="zh-CN"/>
        </w:rPr>
        <w:t>空间</w:t>
      </w:r>
      <w:r>
        <w:rPr>
          <w:rFonts w:hint="eastAsia" w:ascii="楷体_GB2312" w:hAnsi="楷体_GB2312" w:eastAsia="楷体_GB2312" w:cs="楷体_GB2312"/>
          <w:b/>
          <w:bCs/>
          <w:color w:val="auto"/>
          <w:sz w:val="32"/>
          <w:szCs w:val="32"/>
          <w:highlight w:val="none"/>
          <w:u w:val="none"/>
          <w:lang w:eastAsia="zh-CN"/>
        </w:rPr>
        <w:t>布局</w:t>
      </w:r>
      <w:bookmarkEnd w:id="6"/>
    </w:p>
    <w:p>
      <w:pPr>
        <w:pStyle w:val="2"/>
        <w:keepNext w:val="0"/>
        <w:keepLines w:val="0"/>
        <w:pageBreakBefore w:val="0"/>
        <w:widowControl/>
        <w:kinsoku/>
        <w:wordWrap/>
        <w:overflowPunct/>
        <w:topLinePunct/>
        <w:autoSpaceDE w:val="0"/>
        <w:autoSpaceDN/>
        <w:bidi w:val="0"/>
        <w:adjustRightInd w:val="0"/>
        <w:snapToGrid w:val="0"/>
        <w:spacing w:line="600" w:lineRule="exact"/>
        <w:ind w:firstLine="640" w:firstLineChars="200"/>
        <w:textAlignment w:val="baseline"/>
        <w:rPr>
          <w:rFonts w:hint="eastAsia" w:ascii="仿宋_GB2312" w:hAnsi="仿宋_GB2312" w:eastAsia="仿宋_GB2312" w:cs="仿宋_GB2312"/>
          <w:color w:val="auto"/>
          <w:sz w:val="32"/>
          <w:szCs w:val="32"/>
          <w:highlight w:val="none"/>
          <w:u w:val="none"/>
          <w:lang w:eastAsia="zh-CN"/>
        </w:rPr>
      </w:pPr>
      <w:bookmarkStart w:id="7" w:name="_Toc855377680"/>
      <w:r>
        <w:rPr>
          <w:rFonts w:hint="eastAsia" w:ascii="仿宋_GB2312" w:hAnsi="仿宋_GB2312" w:eastAsia="仿宋_GB2312" w:cs="仿宋_GB2312"/>
          <w:color w:val="auto"/>
          <w:sz w:val="32"/>
          <w:szCs w:val="32"/>
          <w:highlight w:val="none"/>
          <w:u w:val="none"/>
          <w:lang w:eastAsia="zh-CN"/>
        </w:rPr>
        <w:t>科学确定耕地、林地及后备资源管理边界，</w:t>
      </w:r>
      <w:r>
        <w:rPr>
          <w:rFonts w:hint="eastAsia" w:ascii="仿宋_GB2312" w:hAnsi="仿宋_GB2312" w:eastAsia="仿宋_GB2312" w:cs="仿宋_GB2312"/>
          <w:color w:val="auto"/>
          <w:sz w:val="32"/>
          <w:szCs w:val="32"/>
          <w:highlight w:val="none"/>
          <w:u w:val="none"/>
          <w:lang w:val="en-US" w:eastAsia="zh-CN"/>
        </w:rPr>
        <w:t>统筹划定</w:t>
      </w:r>
      <w:r>
        <w:rPr>
          <w:rFonts w:hint="eastAsia" w:ascii="仿宋_GB2312" w:hAnsi="仿宋_GB2312" w:eastAsia="仿宋_GB2312" w:cs="仿宋_GB2312"/>
          <w:color w:val="auto"/>
          <w:sz w:val="32"/>
          <w:szCs w:val="32"/>
          <w:highlight w:val="none"/>
          <w:u w:val="none"/>
          <w:lang w:eastAsia="zh-CN"/>
        </w:rPr>
        <w:t>耕地</w:t>
      </w:r>
      <w:r>
        <w:rPr>
          <w:rFonts w:hint="eastAsia" w:ascii="仿宋_GB2312" w:hAnsi="仿宋_GB2312" w:eastAsia="仿宋_GB2312" w:cs="仿宋_GB2312"/>
          <w:color w:val="auto"/>
          <w:sz w:val="32"/>
          <w:szCs w:val="32"/>
          <w:highlight w:val="none"/>
          <w:u w:val="none"/>
          <w:lang w:val="en-US" w:eastAsia="zh-CN"/>
        </w:rPr>
        <w:t>保护和国土绿化</w:t>
      </w:r>
      <w:r>
        <w:rPr>
          <w:rFonts w:hint="eastAsia" w:ascii="仿宋_GB2312" w:hAnsi="仿宋_GB2312" w:eastAsia="仿宋_GB2312" w:cs="仿宋_GB2312"/>
          <w:color w:val="auto"/>
          <w:sz w:val="32"/>
          <w:szCs w:val="32"/>
          <w:highlight w:val="none"/>
          <w:u w:val="none"/>
          <w:lang w:eastAsia="zh-CN"/>
        </w:rPr>
        <w:t>空间，严格落实空间用途管制，有序推进不稳定耕地、灾毁耕地等逐步腾退置换与空间置换，引导新增耕地向农业生产适宜区域集中。稳步推进全域土地综合整治，优先在资源禀赋突出、产业基础扎实、整治潜力较大的区域，统筹开展农用地、建设用地和生态用地整治，优化三生空间布局，</w:t>
      </w:r>
      <w:r>
        <w:rPr>
          <w:rFonts w:hint="eastAsia" w:ascii="仿宋_GB2312" w:hAnsi="仿宋_GB2312" w:eastAsia="仿宋_GB2312" w:cs="仿宋_GB2312"/>
          <w:color w:val="auto"/>
          <w:sz w:val="32"/>
          <w:szCs w:val="32"/>
          <w:highlight w:val="none"/>
          <w:u w:val="none"/>
          <w:lang w:val="en-US" w:eastAsia="zh-CN"/>
        </w:rPr>
        <w:t>力争打造三明样板。</w:t>
      </w:r>
    </w:p>
    <w:p>
      <w:pPr>
        <w:pStyle w:val="2"/>
        <w:keepNext w:val="0"/>
        <w:keepLines w:val="0"/>
        <w:pageBreakBefore w:val="0"/>
        <w:widowControl/>
        <w:kinsoku/>
        <w:wordWrap/>
        <w:overflowPunct/>
        <w:topLinePunct/>
        <w:autoSpaceDE w:val="0"/>
        <w:autoSpaceDN/>
        <w:bidi w:val="0"/>
        <w:adjustRightInd w:val="0"/>
        <w:snapToGrid w:val="0"/>
        <w:spacing w:line="600" w:lineRule="exact"/>
        <w:ind w:firstLine="642" w:firstLineChars="200"/>
        <w:textAlignment w:val="baseline"/>
        <w:rPr>
          <w:rFonts w:hint="eastAsia" w:ascii="楷体_GB2312" w:hAnsi="楷体_GB2312" w:eastAsia="楷体_GB2312" w:cs="楷体_GB2312"/>
          <w:b/>
          <w:bCs/>
          <w:color w:val="auto"/>
          <w:sz w:val="32"/>
          <w:szCs w:val="32"/>
          <w:highlight w:val="none"/>
          <w:u w:val="none"/>
          <w:lang w:eastAsia="zh-CN"/>
        </w:rPr>
      </w:pPr>
      <w:r>
        <w:rPr>
          <w:rFonts w:hint="eastAsia" w:ascii="楷体_GB2312" w:hAnsi="楷体_GB2312" w:eastAsia="楷体_GB2312" w:cs="楷体_GB2312"/>
          <w:b/>
          <w:bCs/>
          <w:color w:val="auto"/>
          <w:sz w:val="32"/>
          <w:szCs w:val="32"/>
          <w:highlight w:val="none"/>
          <w:u w:val="none"/>
          <w:lang w:eastAsia="zh-CN"/>
        </w:rPr>
        <w:t>（四）着力耕地质量建设提升</w:t>
      </w:r>
      <w:bookmarkEnd w:id="7"/>
    </w:p>
    <w:p>
      <w:pPr>
        <w:pStyle w:val="2"/>
        <w:keepNext w:val="0"/>
        <w:keepLines w:val="0"/>
        <w:pageBreakBefore w:val="0"/>
        <w:widowControl/>
        <w:kinsoku/>
        <w:wordWrap/>
        <w:overflowPunct/>
        <w:topLinePunct/>
        <w:autoSpaceDE w:val="0"/>
        <w:autoSpaceDN/>
        <w:bidi w:val="0"/>
        <w:adjustRightInd w:val="0"/>
        <w:snapToGrid w:val="0"/>
        <w:spacing w:line="600" w:lineRule="exact"/>
        <w:ind w:firstLine="640" w:firstLineChars="200"/>
        <w:textAlignment w:val="baseline"/>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val="en-US" w:eastAsia="zh-CN"/>
        </w:rPr>
        <w:t>强化补充耕地质量刚性约束，补充耕地质量不低于上一年各类占用耕地质量平均水平。推动建设占用优质耕地耕作层土壤剥离，用于补充耕地土壤改良；鼓励有条件的地区按照高标准农田建设标准实施补充耕地。建立健全补充耕地常态化监管机制，定期开展补充耕地种植与质量复核，严防边整治边撂荒。强化永久基本农田保护红线监督管理，按照“优进劣出”要求，有序推进永久基本农田正向优化，逐步把具备条件的永久基本农田建成高标准农田，提高</w:t>
      </w:r>
      <w:r>
        <w:rPr>
          <w:rFonts w:hint="eastAsia" w:ascii="仿宋_GB2312" w:hAnsi="仿宋_GB2312" w:eastAsia="仿宋_GB2312" w:cs="仿宋_GB2312"/>
          <w:color w:val="auto"/>
          <w:sz w:val="32"/>
          <w:szCs w:val="32"/>
          <w:highlight w:val="none"/>
          <w:u w:val="none"/>
          <w:lang w:eastAsia="zh-CN"/>
        </w:rPr>
        <w:t>永久基本农田中优质耕地比例。</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9288" w:type="dxa"/>
            <w:vAlign w:val="center"/>
          </w:tcPr>
          <w:p>
            <w:pPr>
              <w:keepNext w:val="0"/>
              <w:keepLines w:val="0"/>
              <w:pageBreakBefore w:val="0"/>
              <w:widowControl/>
              <w:kinsoku/>
              <w:wordWrap/>
              <w:overflowPunct/>
              <w:topLinePunct w:val="0"/>
              <w:autoSpaceDE w:val="0"/>
              <w:autoSpaceDN w:val="0"/>
              <w:bidi w:val="0"/>
              <w:adjustRightInd w:val="0"/>
              <w:snapToGrid w:val="0"/>
              <w:spacing w:line="460" w:lineRule="exact"/>
              <w:jc w:val="center"/>
              <w:textAlignment w:val="baseline"/>
              <w:rPr>
                <w:rFonts w:hint="default" w:ascii="黑体" w:hAnsi="黑体" w:eastAsia="黑体" w:cs="黑体"/>
                <w:color w:val="auto"/>
                <w:sz w:val="28"/>
                <w:szCs w:val="28"/>
                <w:highlight w:val="none"/>
                <w:u w:val="none"/>
                <w:shd w:val="clear" w:color="auto" w:fill="FFFFFF"/>
                <w:vertAlign w:val="baseline"/>
                <w:lang w:val="en-US" w:eastAsia="zh-CN"/>
              </w:rPr>
            </w:pPr>
            <w:r>
              <w:rPr>
                <w:rFonts w:hint="eastAsia" w:ascii="黑体" w:hAnsi="黑体" w:eastAsia="黑体" w:cs="黑体"/>
                <w:color w:val="auto"/>
                <w:sz w:val="28"/>
                <w:szCs w:val="28"/>
                <w:highlight w:val="none"/>
                <w:u w:val="none"/>
                <w:shd w:val="clear" w:color="auto" w:fill="FFFFFF"/>
                <w:vertAlign w:val="baseline"/>
                <w:lang w:val="en-US" w:eastAsia="zh-CN"/>
              </w:rPr>
              <w:t>专栏2  耕地保护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1" w:hRule="atLeast"/>
        </w:trPr>
        <w:tc>
          <w:tcPr>
            <w:tcW w:w="9288" w:type="dxa"/>
            <w:vAlign w:val="center"/>
          </w:tcPr>
          <w:p>
            <w:pPr>
              <w:keepNext w:val="0"/>
              <w:keepLines w:val="0"/>
              <w:pageBreakBefore w:val="0"/>
              <w:widowControl/>
              <w:kinsoku/>
              <w:wordWrap/>
              <w:overflowPunct/>
              <w:topLinePunct w:val="0"/>
              <w:autoSpaceDE w:val="0"/>
              <w:autoSpaceDN w:val="0"/>
              <w:bidi w:val="0"/>
              <w:adjustRightInd w:val="0"/>
              <w:snapToGrid w:val="0"/>
              <w:spacing w:line="460" w:lineRule="exact"/>
              <w:ind w:firstLine="562" w:firstLineChars="200"/>
              <w:jc w:val="left"/>
              <w:textAlignment w:val="baseline"/>
              <w:rPr>
                <w:rFonts w:hint="eastAsia" w:ascii="仿宋_GB2312" w:hAnsi="仿宋_GB2312" w:eastAsia="仿宋_GB2312" w:cs="仿宋_GB2312"/>
                <w:b w:val="0"/>
                <w:bCs w:val="0"/>
                <w:color w:val="auto"/>
                <w:sz w:val="28"/>
                <w:szCs w:val="28"/>
                <w:highlight w:val="none"/>
                <w:u w:val="none"/>
                <w:shd w:val="clear" w:color="auto" w:fill="FFFFFF"/>
                <w:vertAlign w:val="baseline"/>
                <w:lang w:val="en-US" w:eastAsia="zh-CN"/>
              </w:rPr>
            </w:pPr>
            <w:r>
              <w:rPr>
                <w:rFonts w:hint="eastAsia" w:ascii="楷体_GB2312" w:hAnsi="楷体_GB2312" w:eastAsia="楷体_GB2312" w:cs="楷体_GB2312"/>
                <w:b/>
                <w:bCs/>
                <w:color w:val="auto"/>
                <w:sz w:val="28"/>
                <w:szCs w:val="28"/>
                <w:highlight w:val="none"/>
                <w:u w:val="none"/>
                <w:shd w:val="clear" w:color="auto" w:fill="FFFFFF"/>
                <w:vertAlign w:val="baseline"/>
                <w:lang w:val="en-US" w:eastAsia="zh-CN"/>
              </w:rPr>
              <w:t>全域土地综合整治。</w:t>
            </w:r>
            <w:r>
              <w:rPr>
                <w:rFonts w:hint="eastAsia" w:ascii="仿宋_GB2312" w:hAnsi="仿宋_GB2312" w:eastAsia="仿宋_GB2312" w:cs="仿宋_GB2312"/>
                <w:b w:val="0"/>
                <w:bCs w:val="0"/>
                <w:color w:val="auto"/>
                <w:sz w:val="28"/>
                <w:szCs w:val="28"/>
                <w:highlight w:val="none"/>
                <w:u w:val="none"/>
                <w:shd w:val="clear" w:color="auto" w:fill="FFFFFF"/>
                <w:vertAlign w:val="baseline"/>
                <w:lang w:val="en-US" w:eastAsia="zh-CN"/>
              </w:rPr>
              <w:t>在立足地方资源禀赋、保障能力以及充分尊重群众意愿的基础上，开展全域土地综合整治，统筹农用地连片整治、建设用地整理盘活、生态保护修复改造，切实优化农村地区国土空间布局。“十五五”规划期内，重点推动大田桃源、清流林畲嵩溪、将乐万安、永安曹远等4个项目实施落地；其他县区稳妥谋划，成熟一个、报批一个，全市力争实施6个项目。</w:t>
            </w:r>
          </w:p>
        </w:tc>
      </w:tr>
    </w:tbl>
    <w:p>
      <w:pPr>
        <w:pStyle w:val="2"/>
        <w:keepNext w:val="0"/>
        <w:keepLines w:val="0"/>
        <w:pageBreakBefore w:val="0"/>
        <w:widowControl/>
        <w:kinsoku/>
        <w:wordWrap/>
        <w:overflowPunct/>
        <w:topLinePunct/>
        <w:autoSpaceDE w:val="0"/>
        <w:autoSpaceDN/>
        <w:bidi w:val="0"/>
        <w:adjustRightInd w:val="0"/>
        <w:snapToGrid w:val="0"/>
        <w:spacing w:line="600" w:lineRule="exact"/>
        <w:ind w:firstLine="640" w:firstLineChars="200"/>
        <w:textAlignment w:val="baseline"/>
        <w:rPr>
          <w:rFonts w:hint="eastAsia" w:ascii="黑体" w:hAnsi="黑体" w:eastAsia="黑体" w:cs="黑体"/>
          <w:color w:val="auto"/>
          <w:sz w:val="32"/>
          <w:szCs w:val="32"/>
          <w:highlight w:val="none"/>
          <w:u w:val="none"/>
          <w:lang w:val="en-US" w:eastAsia="zh-CN"/>
        </w:rPr>
      </w:pPr>
      <w:bookmarkStart w:id="8" w:name="_Toc2094935787"/>
      <w:bookmarkStart w:id="9" w:name="_Toc1098752438"/>
      <w:bookmarkStart w:id="10" w:name="_Toc1221527461"/>
      <w:bookmarkStart w:id="11" w:name="_Toc653286185"/>
      <w:r>
        <w:rPr>
          <w:rFonts w:hint="eastAsia" w:ascii="黑体" w:hAnsi="黑体" w:eastAsia="黑体" w:cs="黑体"/>
          <w:color w:val="auto"/>
          <w:sz w:val="32"/>
          <w:szCs w:val="32"/>
          <w:highlight w:val="none"/>
          <w:u w:val="none"/>
          <w:lang w:val="en-US" w:eastAsia="zh-CN"/>
        </w:rPr>
        <w:t>四、提升精准高效的要素保障能力</w:t>
      </w:r>
      <w:bookmarkEnd w:id="8"/>
      <w:bookmarkEnd w:id="9"/>
    </w:p>
    <w:p>
      <w:pPr>
        <w:pStyle w:val="2"/>
        <w:keepNext w:val="0"/>
        <w:keepLines w:val="0"/>
        <w:pageBreakBefore w:val="0"/>
        <w:widowControl/>
        <w:kinsoku/>
        <w:wordWrap/>
        <w:overflowPunct/>
        <w:topLinePunct/>
        <w:autoSpaceDE w:val="0"/>
        <w:autoSpaceDN/>
        <w:bidi w:val="0"/>
        <w:adjustRightInd w:val="0"/>
        <w:snapToGrid w:val="0"/>
        <w:spacing w:line="600" w:lineRule="exact"/>
        <w:ind w:firstLine="642" w:firstLineChars="200"/>
        <w:textAlignment w:val="baseline"/>
        <w:rPr>
          <w:rFonts w:hint="eastAsia" w:ascii="楷体_GB2312" w:hAnsi="楷体_GB2312" w:eastAsia="楷体_GB2312" w:cs="楷体_GB2312"/>
          <w:b/>
          <w:bCs/>
          <w:color w:val="auto"/>
          <w:sz w:val="32"/>
          <w:szCs w:val="32"/>
          <w:highlight w:val="none"/>
          <w:u w:val="none"/>
          <w:lang w:val="en-US" w:eastAsia="zh-CN"/>
        </w:rPr>
      </w:pPr>
      <w:bookmarkStart w:id="12" w:name="_Toc927732099"/>
      <w:bookmarkStart w:id="13" w:name="_Toc1009460859"/>
      <w:r>
        <w:rPr>
          <w:rFonts w:hint="eastAsia" w:ascii="楷体_GB2312" w:hAnsi="楷体_GB2312" w:eastAsia="楷体_GB2312" w:cs="楷体_GB2312"/>
          <w:b/>
          <w:bCs/>
          <w:color w:val="auto"/>
          <w:sz w:val="32"/>
          <w:szCs w:val="32"/>
          <w:highlight w:val="none"/>
          <w:u w:val="none"/>
          <w:lang w:val="en-US" w:eastAsia="zh-CN"/>
        </w:rPr>
        <w:t>（一）强化土地资源保障</w:t>
      </w:r>
      <w:bookmarkEnd w:id="12"/>
      <w:bookmarkEnd w:id="13"/>
    </w:p>
    <w:p>
      <w:pPr>
        <w:pStyle w:val="2"/>
        <w:keepNext w:val="0"/>
        <w:keepLines w:val="0"/>
        <w:pageBreakBefore w:val="0"/>
        <w:widowControl w:val="0"/>
        <w:kinsoku/>
        <w:wordWrap/>
        <w:overflowPunct/>
        <w:topLinePunct/>
        <w:autoSpaceDE w:val="0"/>
        <w:autoSpaceDN/>
        <w:bidi w:val="0"/>
        <w:adjustRightInd w:val="0"/>
        <w:snapToGrid w:val="0"/>
        <w:spacing w:line="600" w:lineRule="exact"/>
        <w:ind w:firstLine="640" w:firstLineChars="200"/>
        <w:jc w:val="both"/>
        <w:textAlignment w:val="baseline"/>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坚持“要素跟着项目走”，持续深化“一清单、三保障”工作机制(用地要素保障清单、政策保障、指标保障、服务保障）。建立完善重大项目用地要素保障部门协调机制，加强联动，主动参与、提前介入重大项目规划选址，开展合规性分析和多方案比选，合理避让限制性因素，落实用地用林用草联动审批，统筹全市新增建设用地指标，优先保障省市重点项目、民生项目和乡村振兴等项目新增建设用地指标需求。强化土地资源节约高效利用，开展三明市低效用地再开发全国试点工作，制定全市低效用地认定标准，</w:t>
      </w:r>
      <w:r>
        <w:rPr>
          <w:rFonts w:hint="eastAsia" w:ascii="仿宋_GB2312" w:hAnsi="仿宋_GB2312" w:eastAsia="仿宋_GB2312" w:cs="仿宋_GB2312"/>
          <w:color w:val="FF0000"/>
          <w:sz w:val="32"/>
          <w:szCs w:val="32"/>
          <w:highlight w:val="none"/>
          <w:u w:val="none"/>
          <w:lang w:val="en-US" w:eastAsia="zh-CN"/>
        </w:rPr>
        <w:t>支持集体经营性建设用地入市</w:t>
      </w:r>
      <w:r>
        <w:rPr>
          <w:rFonts w:hint="eastAsia" w:ascii="仿宋_GB2312" w:hAnsi="仿宋_GB2312" w:eastAsia="仿宋_GB2312" w:cs="仿宋_GB2312"/>
          <w:color w:val="auto"/>
          <w:sz w:val="32"/>
          <w:szCs w:val="32"/>
          <w:highlight w:val="none"/>
          <w:u w:val="none"/>
          <w:lang w:val="en-US" w:eastAsia="zh-CN"/>
        </w:rPr>
        <w:t>等扶持政策；加大处置闲置土地力度；在重点园区推广工业用地复合利用、地上地下综合开发等节地技术，提高土地利用率。按照盘活存量、优化增量、提高质量的原则，科学谋划土储专项债，盘活存量闲置土地，推进城市更新工作。</w:t>
      </w:r>
    </w:p>
    <w:p>
      <w:pPr>
        <w:pStyle w:val="2"/>
        <w:keepNext w:val="0"/>
        <w:keepLines w:val="0"/>
        <w:pageBreakBefore w:val="0"/>
        <w:widowControl/>
        <w:kinsoku/>
        <w:wordWrap/>
        <w:overflowPunct/>
        <w:topLinePunct/>
        <w:autoSpaceDE w:val="0"/>
        <w:autoSpaceDN/>
        <w:bidi w:val="0"/>
        <w:adjustRightInd w:val="0"/>
        <w:snapToGrid w:val="0"/>
        <w:spacing w:line="600" w:lineRule="exact"/>
        <w:ind w:firstLine="642" w:firstLineChars="200"/>
        <w:textAlignment w:val="baseline"/>
        <w:rPr>
          <w:rFonts w:hint="eastAsia" w:ascii="楷体_GB2312" w:hAnsi="楷体_GB2312" w:eastAsia="楷体_GB2312" w:cs="楷体_GB2312"/>
          <w:b/>
          <w:bCs/>
          <w:color w:val="auto"/>
          <w:sz w:val="32"/>
          <w:szCs w:val="32"/>
          <w:highlight w:val="none"/>
          <w:u w:val="none"/>
          <w:lang w:val="en-US" w:eastAsia="zh-CN"/>
        </w:rPr>
      </w:pPr>
      <w:r>
        <w:rPr>
          <w:rFonts w:hint="eastAsia" w:ascii="楷体_GB2312" w:hAnsi="楷体_GB2312" w:eastAsia="楷体_GB2312" w:cs="楷体_GB2312"/>
          <w:b/>
          <w:bCs/>
          <w:color w:val="auto"/>
          <w:sz w:val="32"/>
          <w:szCs w:val="32"/>
          <w:highlight w:val="none"/>
          <w:u w:val="none"/>
          <w:lang w:val="en-US" w:eastAsia="zh-CN"/>
        </w:rPr>
        <w:t>（二）强化矿产资源保障</w:t>
      </w:r>
      <w:bookmarkEnd w:id="10"/>
      <w:bookmarkEnd w:id="11"/>
    </w:p>
    <w:p>
      <w:pPr>
        <w:pStyle w:val="2"/>
        <w:keepNext w:val="0"/>
        <w:keepLines w:val="0"/>
        <w:pageBreakBefore w:val="0"/>
        <w:widowControl/>
        <w:kinsoku/>
        <w:wordWrap/>
        <w:overflowPunct/>
        <w:topLinePunct/>
        <w:autoSpaceDE w:val="0"/>
        <w:autoSpaceDN/>
        <w:bidi w:val="0"/>
        <w:adjustRightInd w:val="0"/>
        <w:snapToGrid w:val="0"/>
        <w:spacing w:line="600" w:lineRule="exact"/>
        <w:ind w:firstLine="640" w:firstLineChars="200"/>
        <w:textAlignment w:val="baseline"/>
        <w:rPr>
          <w:rFonts w:hint="eastAsia" w:ascii="仿宋_GB2312" w:hAnsi="仿宋_GB2312" w:eastAsia="仿宋_GB2312" w:cs="仿宋_GB2312"/>
          <w:color w:val="auto"/>
          <w:sz w:val="32"/>
          <w:szCs w:val="32"/>
          <w:highlight w:val="none"/>
          <w:u w:val="none"/>
          <w:lang w:val="en-US" w:eastAsia="zh-CN"/>
        </w:rPr>
      </w:pPr>
      <w:bookmarkStart w:id="14" w:name="_Toc259376296"/>
      <w:bookmarkStart w:id="15" w:name="_Toc1380313146"/>
      <w:bookmarkStart w:id="16" w:name="_Toc1357929498"/>
      <w:r>
        <w:rPr>
          <w:rFonts w:hint="eastAsia" w:ascii="仿宋_GB2312" w:hAnsi="仿宋_GB2312" w:eastAsia="仿宋_GB2312" w:cs="仿宋_GB2312"/>
          <w:color w:val="auto"/>
          <w:sz w:val="32"/>
          <w:szCs w:val="32"/>
          <w:highlight w:val="none"/>
          <w:u w:val="none"/>
          <w:lang w:val="en-US" w:eastAsia="zh-CN"/>
        </w:rPr>
        <w:t>加强基础矿产地质调查，深化区域成矿规律与控矿因素研究，会同</w:t>
      </w:r>
      <w:r>
        <w:rPr>
          <w:rFonts w:hint="eastAsia" w:ascii="仿宋_GB2312" w:hAnsi="仿宋_GB2312" w:eastAsia="仿宋_GB2312" w:cs="仿宋_GB2312"/>
          <w:color w:val="FF0000"/>
          <w:sz w:val="32"/>
          <w:szCs w:val="32"/>
          <w:highlight w:val="none"/>
          <w:u w:val="none"/>
          <w:lang w:val="en-US" w:eastAsia="zh-CN"/>
        </w:rPr>
        <w:t>省厅</w:t>
      </w:r>
      <w:r>
        <w:rPr>
          <w:rFonts w:hint="eastAsia" w:ascii="仿宋_GB2312" w:hAnsi="仿宋_GB2312" w:eastAsia="仿宋_GB2312" w:cs="仿宋_GB2312"/>
          <w:color w:val="auto"/>
          <w:sz w:val="32"/>
          <w:szCs w:val="32"/>
          <w:highlight w:val="none"/>
          <w:u w:val="none"/>
          <w:lang w:val="en-US" w:eastAsia="zh-CN"/>
        </w:rPr>
        <w:t>开展1：5万矿产地质调查，力争圈定一批找矿靶区和优质矿产地。组织编制实施县级矿产资源总体规划（2026—2030年），根据三明市</w:t>
      </w:r>
      <w:r>
        <w:rPr>
          <w:rFonts w:hint="eastAsia" w:ascii="仿宋_GB2312" w:hAnsi="仿宋_GB2312" w:eastAsia="仿宋_GB2312" w:cs="仿宋_GB2312"/>
          <w:color w:val="FF0000"/>
          <w:sz w:val="32"/>
          <w:szCs w:val="32"/>
          <w:highlight w:val="none"/>
          <w:u w:val="none"/>
          <w:lang w:val="en-US" w:eastAsia="zh-CN"/>
        </w:rPr>
        <w:t>成矿带</w:t>
      </w:r>
      <w:r>
        <w:rPr>
          <w:rFonts w:hint="eastAsia" w:ascii="仿宋_GB2312" w:hAnsi="仿宋_GB2312" w:eastAsia="仿宋_GB2312" w:cs="仿宋_GB2312"/>
          <w:color w:val="auto"/>
          <w:sz w:val="32"/>
          <w:szCs w:val="32"/>
          <w:highlight w:val="none"/>
          <w:u w:val="none"/>
          <w:lang w:val="en-US" w:eastAsia="zh-CN"/>
        </w:rPr>
        <w:t>特征、资源赋存</w:t>
      </w:r>
      <w:r>
        <w:rPr>
          <w:rFonts w:hint="eastAsia" w:ascii="仿宋_GB2312" w:hAnsi="仿宋_GB2312" w:eastAsia="仿宋_GB2312" w:cs="仿宋_GB2312"/>
          <w:color w:val="FF0000"/>
          <w:sz w:val="32"/>
          <w:szCs w:val="32"/>
          <w:highlight w:val="none"/>
          <w:u w:val="none"/>
          <w:lang w:val="en-US" w:eastAsia="zh-CN"/>
        </w:rPr>
        <w:t>条件</w:t>
      </w:r>
      <w:r>
        <w:rPr>
          <w:rFonts w:hint="eastAsia" w:ascii="仿宋_GB2312" w:hAnsi="仿宋_GB2312" w:eastAsia="仿宋_GB2312" w:cs="仿宋_GB2312"/>
          <w:color w:val="auto"/>
          <w:sz w:val="32"/>
          <w:szCs w:val="32"/>
          <w:highlight w:val="none"/>
          <w:u w:val="none"/>
          <w:lang w:val="en-US" w:eastAsia="zh-CN"/>
        </w:rPr>
        <w:t>以及经济社会需求，持续优化矿产资源勘查开发布局。加强矿业权出让区块筛选，衔接产业发展适时按需投放萤石、稀土、钨、锂等战略性矿产、我市产业链急需矿产的矿业权，争取出让矿业权数不少于5个。鼓励和支持萤石等战略性矿产和产业链所需矿产的矿业权人加大勘查投入，开展“攻深找盲、探边摸底”，挖掘老矿区潜力资源，推动增储上产，延长矿山服务年限。严格执行矿山最低开采规模要求，引导矿山企业通过整合、兼并、重组等形式实现规模化开采、经营，逐步减少小型矿山数量。加强矿产资源节约集约利用，鼓励共伴生矿产、尾石和</w:t>
      </w:r>
      <w:r>
        <w:rPr>
          <w:rFonts w:hint="eastAsia" w:ascii="仿宋_GB2312" w:hAnsi="仿宋_GB2312" w:eastAsia="仿宋_GB2312" w:cs="仿宋_GB2312"/>
          <w:color w:val="FF0000"/>
          <w:sz w:val="32"/>
          <w:szCs w:val="32"/>
          <w:highlight w:val="none"/>
          <w:u w:val="none"/>
          <w:lang w:val="en-US" w:eastAsia="zh-CN"/>
        </w:rPr>
        <w:t>废石</w:t>
      </w:r>
      <w:r>
        <w:rPr>
          <w:rFonts w:hint="eastAsia" w:ascii="仿宋_GB2312" w:hAnsi="仿宋_GB2312" w:eastAsia="仿宋_GB2312" w:cs="仿宋_GB2312"/>
          <w:color w:val="auto"/>
          <w:sz w:val="32"/>
          <w:szCs w:val="32"/>
          <w:highlight w:val="none"/>
          <w:u w:val="none"/>
          <w:lang w:val="en-US" w:eastAsia="zh-CN"/>
        </w:rPr>
        <w:t>依法依规综合利用。</w:t>
      </w:r>
    </w:p>
    <w:bookmarkEnd w:id="14"/>
    <w:bookmarkEnd w:id="15"/>
    <w:p>
      <w:pPr>
        <w:widowControl w:val="0"/>
        <w:kinsoku/>
        <w:spacing w:line="600" w:lineRule="exact"/>
        <w:ind w:firstLine="640" w:firstLineChars="200"/>
        <w:jc w:val="both"/>
        <w:outlineLvl w:val="0"/>
        <w:rPr>
          <w:rFonts w:ascii="黑体" w:hAnsi="黑体" w:eastAsia="黑体" w:cs="黑体"/>
          <w:color w:val="auto"/>
          <w:sz w:val="32"/>
          <w:szCs w:val="32"/>
          <w:lang w:eastAsia="zh-CN"/>
        </w:rPr>
      </w:pPr>
      <w:bookmarkStart w:id="17" w:name="_Toc1814944524"/>
      <w:bookmarkStart w:id="18" w:name="_Toc435533597"/>
      <w:r>
        <w:rPr>
          <w:rFonts w:hint="eastAsia" w:ascii="黑体" w:hAnsi="黑体" w:eastAsia="黑体" w:cs="黑体"/>
          <w:color w:val="auto"/>
          <w:sz w:val="32"/>
          <w:szCs w:val="32"/>
          <w:lang w:eastAsia="zh-CN"/>
        </w:rPr>
        <w:t>五、完善权责明晰的资产管理制度</w:t>
      </w:r>
      <w:bookmarkEnd w:id="17"/>
    </w:p>
    <w:p>
      <w:pPr>
        <w:pStyle w:val="2"/>
        <w:keepNext w:val="0"/>
        <w:keepLines w:val="0"/>
        <w:pageBreakBefore w:val="0"/>
        <w:widowControl/>
        <w:kinsoku/>
        <w:wordWrap/>
        <w:overflowPunct/>
        <w:topLinePunct/>
        <w:autoSpaceDE w:val="0"/>
        <w:autoSpaceDN/>
        <w:bidi w:val="0"/>
        <w:adjustRightInd w:val="0"/>
        <w:snapToGrid w:val="0"/>
        <w:spacing w:line="600" w:lineRule="exact"/>
        <w:ind w:firstLine="642" w:firstLineChars="200"/>
        <w:textAlignment w:val="baseline"/>
        <w:rPr>
          <w:rFonts w:hint="eastAsia" w:ascii="楷体_GB2312" w:hAnsi="楷体_GB2312" w:eastAsia="楷体_GB2312" w:cs="楷体_GB2312"/>
          <w:b/>
          <w:bCs/>
          <w:color w:val="auto"/>
          <w:sz w:val="32"/>
          <w:szCs w:val="32"/>
          <w:highlight w:val="none"/>
          <w:u w:val="none"/>
          <w:lang w:val="en-US" w:eastAsia="zh-CN"/>
        </w:rPr>
      </w:pPr>
      <w:bookmarkStart w:id="19" w:name="_Toc1304067368"/>
      <w:bookmarkStart w:id="20" w:name="_Toc143187438"/>
      <w:r>
        <w:rPr>
          <w:rFonts w:hint="eastAsia" w:ascii="楷体_GB2312" w:hAnsi="楷体_GB2312" w:eastAsia="楷体_GB2312" w:cs="楷体_GB2312"/>
          <w:b/>
          <w:bCs/>
          <w:color w:val="auto"/>
          <w:sz w:val="32"/>
          <w:szCs w:val="32"/>
          <w:highlight w:val="none"/>
          <w:u w:val="none"/>
          <w:lang w:val="en-US" w:eastAsia="zh-CN"/>
        </w:rPr>
        <w:t>（一）深化自然资源和不动产确权登记</w:t>
      </w:r>
      <w:bookmarkEnd w:id="19"/>
      <w:bookmarkEnd w:id="20"/>
    </w:p>
    <w:p>
      <w:pPr>
        <w:pStyle w:val="2"/>
        <w:keepNext w:val="0"/>
        <w:keepLines w:val="0"/>
        <w:pageBreakBefore w:val="0"/>
        <w:widowControl/>
        <w:kinsoku/>
        <w:wordWrap/>
        <w:overflowPunct/>
        <w:topLinePunct/>
        <w:autoSpaceDE w:val="0"/>
        <w:autoSpaceDN/>
        <w:bidi w:val="0"/>
        <w:adjustRightInd w:val="0"/>
        <w:snapToGrid w:val="0"/>
        <w:spacing w:line="600" w:lineRule="exact"/>
        <w:ind w:firstLine="640" w:firstLineChars="200"/>
        <w:textAlignment w:val="baseline"/>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深化不动产登记便利化改革，落实“高效办成一件事”。落实矿业权“权证分离”，纳入不动产统一登记。妥善解决各类历史遗留不动产登记问题。探索“一码关联”，强化规划、审批、供应、利用、登记全链条管理。</w:t>
      </w:r>
      <w:r>
        <w:rPr>
          <w:rFonts w:hint="eastAsia" w:ascii="仿宋_GB2312" w:hAnsi="仿宋_GB2312" w:eastAsia="仿宋_GB2312" w:cs="仿宋_GB2312"/>
          <w:color w:val="FF0000"/>
          <w:sz w:val="32"/>
          <w:szCs w:val="32"/>
          <w:highlight w:val="none"/>
          <w:u w:val="none"/>
          <w:lang w:val="en-US" w:eastAsia="zh-CN"/>
        </w:rPr>
        <w:t>动态更新集体土地所有权确权登记成果；</w:t>
      </w:r>
      <w:r>
        <w:rPr>
          <w:rFonts w:hint="eastAsia" w:ascii="仿宋_GB2312" w:hAnsi="仿宋_GB2312" w:eastAsia="仿宋_GB2312" w:cs="仿宋_GB2312"/>
          <w:color w:val="auto"/>
          <w:sz w:val="32"/>
          <w:szCs w:val="32"/>
          <w:highlight w:val="none"/>
          <w:u w:val="none"/>
          <w:lang w:val="en-US" w:eastAsia="zh-CN"/>
        </w:rPr>
        <w:t>深化林权类不动产登记规范化建设，</w:t>
      </w:r>
      <w:r>
        <w:rPr>
          <w:rFonts w:hint="eastAsia" w:ascii="仿宋_GB2312" w:hAnsi="仿宋_GB2312" w:eastAsia="仿宋_GB2312" w:cs="仿宋_GB2312"/>
          <w:color w:val="FF0000"/>
          <w:sz w:val="32"/>
          <w:szCs w:val="32"/>
          <w:highlight w:val="none"/>
          <w:u w:val="none"/>
          <w:lang w:val="en-US" w:eastAsia="zh-CN"/>
        </w:rPr>
        <w:t>推广林下经济不动产登记；</w:t>
      </w:r>
      <w:r>
        <w:rPr>
          <w:rFonts w:hint="eastAsia" w:ascii="仿宋_GB2312" w:hAnsi="仿宋_GB2312" w:eastAsia="仿宋_GB2312" w:cs="仿宋_GB2312"/>
          <w:color w:val="auto"/>
          <w:sz w:val="32"/>
          <w:szCs w:val="32"/>
          <w:highlight w:val="none"/>
          <w:u w:val="none"/>
          <w:lang w:val="en-US" w:eastAsia="zh-CN"/>
        </w:rPr>
        <w:t>稳妥做好土地承包经营权二轮延包</w:t>
      </w:r>
      <w:r>
        <w:rPr>
          <w:rFonts w:hint="eastAsia" w:ascii="仿宋_GB2312" w:hAnsi="仿宋_GB2312" w:eastAsia="仿宋_GB2312" w:cs="仿宋_GB2312"/>
          <w:color w:val="FF0000"/>
          <w:sz w:val="32"/>
          <w:szCs w:val="32"/>
          <w:highlight w:val="none"/>
          <w:u w:val="none"/>
          <w:lang w:val="en-US" w:eastAsia="zh-CN"/>
        </w:rPr>
        <w:t>确权</w:t>
      </w:r>
      <w:r>
        <w:rPr>
          <w:rFonts w:hint="eastAsia" w:ascii="仿宋_GB2312" w:hAnsi="仿宋_GB2312" w:eastAsia="仿宋_GB2312" w:cs="仿宋_GB2312"/>
          <w:color w:val="auto"/>
          <w:sz w:val="32"/>
          <w:szCs w:val="32"/>
          <w:highlight w:val="none"/>
          <w:u w:val="none"/>
          <w:lang w:val="en-US" w:eastAsia="zh-CN"/>
        </w:rPr>
        <w:t>登记；持续推进农房宅基地确权登记颁证，全市2027年底前基本完成确权登记颁证任务，同时提高集体建设用地使用权确权登记率。</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vAlign w:val="center"/>
          </w:tcPr>
          <w:p>
            <w:pPr>
              <w:widowControl/>
              <w:kinsoku/>
              <w:spacing w:line="540" w:lineRule="exact"/>
              <w:jc w:val="center"/>
              <w:rPr>
                <w:rFonts w:ascii="仿宋_GB2312" w:hAnsi="仿宋_GB2312" w:eastAsia="仿宋_GB2312" w:cs="仿宋_GB2312"/>
                <w:color w:val="FF0000"/>
                <w:sz w:val="28"/>
                <w:szCs w:val="28"/>
                <w:highlight w:val="none"/>
                <w:lang w:eastAsia="zh-CN"/>
              </w:rPr>
            </w:pPr>
            <w:r>
              <w:rPr>
                <w:rFonts w:hint="eastAsia" w:ascii="黑体" w:hAnsi="黑体" w:eastAsia="黑体" w:cs="黑体"/>
                <w:color w:val="FF0000"/>
                <w:sz w:val="28"/>
                <w:szCs w:val="28"/>
                <w:highlight w:val="none"/>
                <w:lang w:eastAsia="zh-CN"/>
              </w:rPr>
              <w:t>专栏3 自然资源确权登记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vAlign w:val="center"/>
          </w:tcPr>
          <w:p>
            <w:pPr>
              <w:widowControl/>
              <w:kinsoku/>
              <w:spacing w:line="540" w:lineRule="exact"/>
              <w:ind w:firstLine="562" w:firstLineChars="200"/>
              <w:jc w:val="both"/>
              <w:rPr>
                <w:rFonts w:ascii="仿宋_GB2312" w:hAnsi="仿宋_GB2312" w:eastAsia="仿宋_GB2312" w:cs="仿宋_GB2312"/>
                <w:color w:val="FF0000"/>
                <w:sz w:val="28"/>
                <w:szCs w:val="28"/>
                <w:highlight w:val="none"/>
                <w:lang w:eastAsia="zh-CN"/>
              </w:rPr>
            </w:pPr>
            <w:r>
              <w:rPr>
                <w:rFonts w:hint="eastAsia" w:ascii="楷体_GB2312" w:hAnsi="楷体_GB2312" w:eastAsia="楷体_GB2312" w:cs="楷体_GB2312"/>
                <w:b/>
                <w:bCs/>
                <w:color w:val="FF0000"/>
                <w:sz w:val="28"/>
                <w:szCs w:val="28"/>
                <w:highlight w:val="none"/>
                <w:shd w:val="clear" w:color="auto" w:fill="FFFFFF"/>
                <w:lang w:eastAsia="zh-CN"/>
              </w:rPr>
              <w:t>自然保护地确权登记。</w:t>
            </w:r>
            <w:r>
              <w:rPr>
                <w:rFonts w:hint="eastAsia" w:ascii="仿宋_GB2312" w:hAnsi="仿宋_GB2312" w:eastAsia="仿宋_GB2312" w:cs="仿宋_GB2312"/>
                <w:color w:val="FF0000"/>
                <w:sz w:val="28"/>
                <w:szCs w:val="28"/>
                <w:highlight w:val="none"/>
                <w:shd w:val="clear" w:color="auto" w:fill="FFFFFF"/>
                <w:lang w:eastAsia="zh-CN"/>
              </w:rPr>
              <w:t>以《福建省部分自然保护地自然资源资产所有权代理履行主体清单》为基础，结合自然资源保护地整合优化成果，推动完成罗卜岩、格氏栲等</w:t>
            </w:r>
            <w:r>
              <w:rPr>
                <w:rFonts w:ascii="仿宋_GB2312" w:hAnsi="仿宋_GB2312" w:eastAsia="仿宋_GB2312" w:cs="仿宋_GB2312"/>
                <w:color w:val="FF0000"/>
                <w:sz w:val="28"/>
                <w:szCs w:val="28"/>
                <w:highlight w:val="none"/>
                <w:shd w:val="clear" w:color="auto" w:fill="FFFFFF"/>
                <w:lang w:eastAsia="zh-CN"/>
              </w:rPr>
              <w:t>15</w:t>
            </w:r>
            <w:r>
              <w:rPr>
                <w:rFonts w:hint="eastAsia" w:ascii="仿宋_GB2312" w:hAnsi="仿宋_GB2312" w:eastAsia="仿宋_GB2312" w:cs="仿宋_GB2312"/>
                <w:color w:val="FF0000"/>
                <w:sz w:val="28"/>
                <w:szCs w:val="28"/>
                <w:highlight w:val="none"/>
                <w:shd w:val="clear" w:color="auto" w:fill="FFFFFF"/>
                <w:lang w:eastAsia="zh-CN"/>
              </w:rPr>
              <w:t>个自然保护地自然资源确权登记，划清登记单元国有和集体权属、不同集体所有者以及自然资源地类等界线，为落实生态产品价值实现机制、完善自然资源资产管理制度体系建设提供产权支撑。</w:t>
            </w:r>
          </w:p>
        </w:tc>
      </w:tr>
      <w:bookmarkEnd w:id="16"/>
      <w:bookmarkEnd w:id="18"/>
    </w:tbl>
    <w:p>
      <w:pPr>
        <w:pStyle w:val="2"/>
        <w:keepNext w:val="0"/>
        <w:keepLines w:val="0"/>
        <w:pageBreakBefore w:val="0"/>
        <w:widowControl/>
        <w:kinsoku/>
        <w:wordWrap/>
        <w:overflowPunct/>
        <w:topLinePunct/>
        <w:autoSpaceDE w:val="0"/>
        <w:autoSpaceDN/>
        <w:bidi w:val="0"/>
        <w:adjustRightInd w:val="0"/>
        <w:snapToGrid w:val="0"/>
        <w:spacing w:line="600" w:lineRule="exact"/>
        <w:ind w:firstLine="642" w:firstLineChars="200"/>
        <w:textAlignment w:val="baseline"/>
        <w:rPr>
          <w:rFonts w:hint="eastAsia" w:ascii="楷体_GB2312" w:hAnsi="楷体_GB2312" w:eastAsia="楷体_GB2312" w:cs="楷体_GB2312"/>
          <w:b/>
          <w:bCs/>
          <w:color w:val="auto"/>
          <w:sz w:val="32"/>
          <w:szCs w:val="32"/>
          <w:highlight w:val="none"/>
          <w:u w:val="none"/>
          <w:lang w:val="en-US" w:eastAsia="zh-CN"/>
        </w:rPr>
      </w:pPr>
      <w:bookmarkStart w:id="21" w:name="_Toc1825857676"/>
      <w:bookmarkStart w:id="22" w:name="_Toc29549977"/>
      <w:bookmarkStart w:id="23" w:name="_Toc1021004976"/>
      <w:r>
        <w:rPr>
          <w:rFonts w:hint="eastAsia" w:ascii="楷体_GB2312" w:hAnsi="楷体_GB2312" w:eastAsia="楷体_GB2312" w:cs="楷体_GB2312"/>
          <w:b/>
          <w:bCs/>
          <w:color w:val="auto"/>
          <w:sz w:val="32"/>
          <w:szCs w:val="32"/>
          <w:highlight w:val="none"/>
          <w:u w:val="none"/>
          <w:lang w:val="en-US" w:eastAsia="zh-CN"/>
        </w:rPr>
        <w:t>（二）完善自然资源资产管理制度</w:t>
      </w:r>
      <w:bookmarkEnd w:id="21"/>
    </w:p>
    <w:p>
      <w:pPr>
        <w:pStyle w:val="2"/>
        <w:keepNext w:val="0"/>
        <w:keepLines w:val="0"/>
        <w:pageBreakBefore w:val="0"/>
        <w:widowControl w:val="0"/>
        <w:kinsoku/>
        <w:wordWrap/>
        <w:overflowPunct/>
        <w:topLinePunct/>
        <w:autoSpaceDE w:val="0"/>
        <w:autoSpaceDN/>
        <w:bidi w:val="0"/>
        <w:adjustRightInd w:val="0"/>
        <w:snapToGrid w:val="0"/>
        <w:spacing w:line="600" w:lineRule="exact"/>
        <w:ind w:firstLine="640" w:firstLineChars="200"/>
        <w:jc w:val="both"/>
        <w:textAlignment w:val="baseline"/>
        <w:rPr>
          <w:rFonts w:hint="default"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深化自然资源资产清查统计核算体系建设，融合自然资源调查监测、确权登记、自然资源分等定级估价等成果，查清全民所有自然资源资产实物量、探索核算价值量、理清使用权状况。推动</w:t>
      </w:r>
      <w:r>
        <w:rPr>
          <w:rFonts w:hint="eastAsia" w:ascii="仿宋_GB2312" w:hAnsi="仿宋_GB2312" w:eastAsia="仿宋_GB2312" w:cs="仿宋_GB2312"/>
          <w:color w:val="FF0000"/>
          <w:sz w:val="32"/>
          <w:szCs w:val="32"/>
          <w:highlight w:val="none"/>
          <w:u w:val="none"/>
          <w:lang w:val="en-US" w:eastAsia="zh-CN"/>
        </w:rPr>
        <w:t>自然资源领域</w:t>
      </w:r>
      <w:r>
        <w:rPr>
          <w:rFonts w:hint="eastAsia" w:ascii="仿宋_GB2312" w:hAnsi="仿宋_GB2312" w:eastAsia="仿宋_GB2312" w:cs="仿宋_GB2312"/>
          <w:color w:val="auto"/>
          <w:sz w:val="32"/>
          <w:szCs w:val="32"/>
          <w:highlight w:val="none"/>
          <w:u w:val="none"/>
          <w:lang w:val="en-US" w:eastAsia="zh-CN"/>
        </w:rPr>
        <w:t>生态产品价值实现机制试点，开展生态产品信息调查，拓展空间治理型、生态增值型、组合供应型等生态产品价值实现多元模式，推进生态产品价值实现机制示范建设。优化自然资源资产储备管护机制，完成土地储备管理，规范专项债</w:t>
      </w:r>
      <w:bookmarkStart w:id="44" w:name="_GoBack"/>
      <w:bookmarkEnd w:id="44"/>
      <w:r>
        <w:rPr>
          <w:rFonts w:hint="eastAsia" w:ascii="仿宋_GB2312" w:hAnsi="仿宋_GB2312" w:eastAsia="仿宋_GB2312" w:cs="仿宋_GB2312"/>
          <w:color w:val="auto"/>
          <w:sz w:val="32"/>
          <w:szCs w:val="32"/>
          <w:highlight w:val="none"/>
          <w:u w:val="none"/>
          <w:lang w:val="en-US" w:eastAsia="zh-CN"/>
        </w:rPr>
        <w:t>券使用，完善土地储备成本核算、管护与临时利用机制。不断优化自然资源市场化配置，扩大国有建设用地有偿使用范围，完善公示地价体系，健全长期租赁、先租后让、弹性年期供应等土地供应方式，积极引导国有建设用地使用权二级市场交易平台交易。</w:t>
      </w:r>
    </w:p>
    <w:bookmarkEnd w:id="22"/>
    <w:bookmarkEnd w:id="23"/>
    <w:p>
      <w:pPr>
        <w:widowControl w:val="0"/>
        <w:kinsoku/>
        <w:spacing w:line="600" w:lineRule="exact"/>
        <w:ind w:firstLine="640" w:firstLineChars="200"/>
        <w:jc w:val="both"/>
        <w:outlineLvl w:val="0"/>
        <w:rPr>
          <w:rFonts w:hint="eastAsia" w:ascii="黑体" w:hAnsi="黑体" w:eastAsia="黑体" w:cs="黑体"/>
          <w:color w:val="auto"/>
          <w:sz w:val="32"/>
          <w:szCs w:val="32"/>
          <w:lang w:val="en-US" w:eastAsia="zh-CN"/>
        </w:rPr>
      </w:pPr>
      <w:bookmarkStart w:id="24" w:name="_Toc876877470"/>
      <w:bookmarkStart w:id="25" w:name="_Toc1323962497"/>
      <w:bookmarkStart w:id="26" w:name="_Toc536842329"/>
      <w:r>
        <w:rPr>
          <w:rFonts w:hint="eastAsia" w:ascii="黑体" w:hAnsi="黑体" w:eastAsia="黑体" w:cs="黑体"/>
          <w:color w:val="auto"/>
          <w:sz w:val="32"/>
          <w:szCs w:val="32"/>
          <w:lang w:val="en-US" w:eastAsia="zh-CN"/>
        </w:rPr>
        <w:t>六、统筹实施自然生态保护修复</w:t>
      </w:r>
      <w:bookmarkEnd w:id="24"/>
    </w:p>
    <w:p>
      <w:pPr>
        <w:pStyle w:val="2"/>
        <w:keepNext w:val="0"/>
        <w:keepLines w:val="0"/>
        <w:pageBreakBefore w:val="0"/>
        <w:widowControl/>
        <w:kinsoku/>
        <w:wordWrap/>
        <w:overflowPunct/>
        <w:topLinePunct/>
        <w:autoSpaceDE w:val="0"/>
        <w:autoSpaceDN/>
        <w:bidi w:val="0"/>
        <w:adjustRightInd w:val="0"/>
        <w:snapToGrid w:val="0"/>
        <w:spacing w:line="600" w:lineRule="exact"/>
        <w:ind w:firstLine="642" w:firstLineChars="200"/>
        <w:textAlignment w:val="baseline"/>
        <w:rPr>
          <w:rFonts w:hint="eastAsia" w:ascii="楷体_GB2312" w:hAnsi="楷体_GB2312" w:eastAsia="楷体_GB2312" w:cs="楷体_GB2312"/>
          <w:b/>
          <w:bCs/>
          <w:color w:val="auto"/>
          <w:sz w:val="32"/>
          <w:szCs w:val="32"/>
          <w:highlight w:val="none"/>
          <w:u w:val="none"/>
          <w:lang w:val="en-US" w:eastAsia="zh-CN"/>
        </w:rPr>
      </w:pPr>
      <w:bookmarkStart w:id="27" w:name="_Toc2060582098"/>
      <w:bookmarkStart w:id="28" w:name="_Toc1895989794"/>
      <w:r>
        <w:rPr>
          <w:rFonts w:hint="eastAsia" w:ascii="楷体_GB2312" w:hAnsi="楷体_GB2312" w:eastAsia="楷体_GB2312" w:cs="楷体_GB2312"/>
          <w:b/>
          <w:bCs/>
          <w:color w:val="auto"/>
          <w:sz w:val="32"/>
          <w:szCs w:val="32"/>
          <w:highlight w:val="none"/>
          <w:u w:val="none"/>
          <w:lang w:val="en-US" w:eastAsia="zh-CN"/>
        </w:rPr>
        <w:t>（一）严守生态保护红线</w:t>
      </w:r>
      <w:bookmarkEnd w:id="27"/>
      <w:bookmarkEnd w:id="28"/>
    </w:p>
    <w:p>
      <w:pPr>
        <w:pStyle w:val="2"/>
        <w:keepNext w:val="0"/>
        <w:keepLines w:val="0"/>
        <w:pageBreakBefore w:val="0"/>
        <w:widowControl/>
        <w:kinsoku/>
        <w:wordWrap/>
        <w:overflowPunct/>
        <w:topLinePunct/>
        <w:autoSpaceDE w:val="0"/>
        <w:autoSpaceDN/>
        <w:bidi w:val="0"/>
        <w:adjustRightInd w:val="0"/>
        <w:snapToGrid w:val="0"/>
        <w:spacing w:line="600" w:lineRule="exact"/>
        <w:ind w:firstLine="640" w:firstLineChars="200"/>
        <w:textAlignment w:val="baseline"/>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严格落实生态保护红线实施监督管理，生态保护红线划定成果纳入国土空间规划“一张图”实施监督系统，建设项目选址必须符合国土空间规划“一张图”管控要求，除政策允许的有限人为活动和允许占用生态保护红线的国家重大项目外，其他建设项目必须避让生态保护红线。</w:t>
      </w:r>
    </w:p>
    <w:p>
      <w:pPr>
        <w:pStyle w:val="2"/>
        <w:keepNext w:val="0"/>
        <w:keepLines w:val="0"/>
        <w:pageBreakBefore w:val="0"/>
        <w:widowControl/>
        <w:kinsoku/>
        <w:wordWrap/>
        <w:overflowPunct/>
        <w:topLinePunct/>
        <w:autoSpaceDE w:val="0"/>
        <w:autoSpaceDN/>
        <w:bidi w:val="0"/>
        <w:adjustRightInd w:val="0"/>
        <w:snapToGrid w:val="0"/>
        <w:spacing w:line="600" w:lineRule="exact"/>
        <w:ind w:firstLine="640" w:firstLineChars="200"/>
        <w:textAlignment w:val="baseline"/>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落实生态保护红线正向优化，以开展总体规划动态调整完善工作为契机，按照任务不减少、功能有提升、布局更完善的原则，衔接自然保护地整合优化成果，对生态保护红线进行正向优化。</w:t>
      </w:r>
    </w:p>
    <w:p>
      <w:pPr>
        <w:pStyle w:val="2"/>
        <w:keepNext w:val="0"/>
        <w:keepLines w:val="0"/>
        <w:pageBreakBefore w:val="0"/>
        <w:widowControl/>
        <w:kinsoku/>
        <w:wordWrap/>
        <w:overflowPunct/>
        <w:topLinePunct/>
        <w:autoSpaceDE w:val="0"/>
        <w:autoSpaceDN/>
        <w:bidi w:val="0"/>
        <w:adjustRightInd w:val="0"/>
        <w:snapToGrid w:val="0"/>
        <w:spacing w:line="600" w:lineRule="exact"/>
        <w:ind w:firstLine="642" w:firstLineChars="200"/>
        <w:textAlignment w:val="baseline"/>
        <w:rPr>
          <w:rFonts w:hint="eastAsia" w:ascii="楷体_GB2312" w:hAnsi="楷体_GB2312" w:eastAsia="楷体_GB2312" w:cs="楷体_GB2312"/>
          <w:b/>
          <w:bCs/>
          <w:color w:val="auto"/>
          <w:sz w:val="32"/>
          <w:szCs w:val="32"/>
          <w:highlight w:val="none"/>
          <w:u w:val="none"/>
          <w:lang w:val="en-US" w:eastAsia="zh-CN"/>
        </w:rPr>
      </w:pPr>
      <w:bookmarkStart w:id="29" w:name="_Toc120102212"/>
      <w:bookmarkStart w:id="30" w:name="_Toc1414921413"/>
      <w:r>
        <w:rPr>
          <w:rFonts w:hint="eastAsia" w:ascii="楷体_GB2312" w:hAnsi="楷体_GB2312" w:eastAsia="楷体_GB2312" w:cs="楷体_GB2312"/>
          <w:b/>
          <w:bCs/>
          <w:color w:val="auto"/>
          <w:sz w:val="32"/>
          <w:szCs w:val="32"/>
          <w:highlight w:val="none"/>
          <w:u w:val="none"/>
          <w:lang w:val="en-US" w:eastAsia="zh-CN"/>
        </w:rPr>
        <w:t>（二）加强国土空间生态保护修复</w:t>
      </w:r>
      <w:bookmarkEnd w:id="29"/>
      <w:bookmarkEnd w:id="30"/>
    </w:p>
    <w:p>
      <w:pPr>
        <w:pStyle w:val="2"/>
        <w:keepNext w:val="0"/>
        <w:keepLines w:val="0"/>
        <w:pageBreakBefore w:val="0"/>
        <w:widowControl/>
        <w:kinsoku/>
        <w:wordWrap/>
        <w:overflowPunct/>
        <w:topLinePunct/>
        <w:autoSpaceDE w:val="0"/>
        <w:autoSpaceDN/>
        <w:bidi w:val="0"/>
        <w:adjustRightInd w:val="0"/>
        <w:snapToGrid w:val="0"/>
        <w:spacing w:line="600" w:lineRule="exact"/>
        <w:ind w:firstLine="640" w:firstLineChars="200"/>
        <w:textAlignment w:val="baseline"/>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分类推进历史遗留废弃矿山生态修复，坚持山水林田湖草沙一体化保护修复理念，科学分类推进历史遗留废弃矿山生态修复。立足我市废弃矿山分布和类型特点，以永安市、大田县等废弃矿山集中区为重点区域，统筹谋划国家和省级生态修复工程，积极争取上级专项资金支持，集中力量推进一批重点修复项目。</w:t>
      </w:r>
    </w:p>
    <w:p>
      <w:pPr>
        <w:pStyle w:val="2"/>
        <w:keepNext w:val="0"/>
        <w:keepLines w:val="0"/>
        <w:pageBreakBefore w:val="0"/>
        <w:widowControl/>
        <w:kinsoku/>
        <w:wordWrap/>
        <w:overflowPunct/>
        <w:topLinePunct/>
        <w:autoSpaceDE w:val="0"/>
        <w:autoSpaceDN/>
        <w:bidi w:val="0"/>
        <w:adjustRightInd w:val="0"/>
        <w:snapToGrid w:val="0"/>
        <w:spacing w:line="600" w:lineRule="exact"/>
        <w:ind w:firstLine="640" w:firstLineChars="200"/>
        <w:textAlignment w:val="baseline"/>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有序推进绿色矿山建设。严格落实矿山企业“边开采、边治理”主体责任，有序推进绿色矿山达标建设。确保到2028年底持证在产的90%大型矿山、80%中型矿山达到绿色矿山建设标准。对已建成的绿色矿山，落实动态管理机制，持续巩固提升建设成效。</w:t>
      </w:r>
    </w:p>
    <w:p>
      <w:pPr>
        <w:pStyle w:val="3"/>
        <w:rPr>
          <w:rFonts w:hint="eastAsia"/>
          <w:lang w:val="en-US" w:eastAsia="zh-CN"/>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1"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黑体" w:hAnsi="黑体" w:eastAsia="黑体" w:cs="黑体"/>
                <w:color w:val="auto"/>
                <w:sz w:val="28"/>
                <w:szCs w:val="28"/>
                <w:vertAlign w:val="baseline"/>
                <w:lang w:val="en-US" w:eastAsia="zh-CN"/>
              </w:rPr>
            </w:pPr>
            <w:r>
              <w:rPr>
                <w:rFonts w:hint="eastAsia" w:ascii="黑体" w:hAnsi="黑体" w:eastAsia="黑体" w:cs="黑体"/>
                <w:color w:val="auto"/>
                <w:sz w:val="28"/>
                <w:szCs w:val="28"/>
                <w:vertAlign w:val="baseline"/>
                <w:lang w:eastAsia="zh-CN"/>
              </w:rPr>
              <w:t>专栏</w:t>
            </w:r>
            <w:r>
              <w:rPr>
                <w:rFonts w:hint="eastAsia" w:ascii="黑体" w:hAnsi="黑体" w:eastAsia="黑体" w:cs="黑体"/>
                <w:color w:val="auto"/>
                <w:sz w:val="28"/>
                <w:szCs w:val="28"/>
                <w:vertAlign w:val="baseline"/>
                <w:lang w:val="en-US" w:eastAsia="zh-CN"/>
              </w:rPr>
              <w:t>3  生态保护修复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61"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562" w:firstLineChars="200"/>
              <w:jc w:val="left"/>
              <w:textAlignment w:val="auto"/>
              <w:rPr>
                <w:rFonts w:hint="eastAsia" w:ascii="仿宋_GB2312" w:hAnsi="仿宋_GB2312" w:eastAsia="仿宋_GB2312" w:cs="仿宋_GB2312"/>
                <w:color w:val="auto"/>
                <w:sz w:val="28"/>
                <w:szCs w:val="28"/>
                <w:vertAlign w:val="baseline"/>
                <w:lang w:eastAsia="zh-CN"/>
              </w:rPr>
            </w:pPr>
            <w:r>
              <w:rPr>
                <w:rFonts w:hint="eastAsia" w:ascii="楷体_GB2312" w:hAnsi="楷体_GB2312" w:eastAsia="楷体_GB2312" w:cs="楷体_GB2312"/>
                <w:b/>
                <w:bCs/>
                <w:color w:val="auto"/>
                <w:sz w:val="28"/>
                <w:szCs w:val="28"/>
                <w:highlight w:val="none"/>
                <w:u w:val="none"/>
                <w:shd w:val="clear" w:color="auto" w:fill="FFFFFF"/>
                <w:vertAlign w:val="baseline"/>
                <w:lang w:val="en-US" w:eastAsia="zh-CN"/>
              </w:rPr>
              <w:t>历史遗留矿山生态修复。</w:t>
            </w:r>
            <w:r>
              <w:rPr>
                <w:rFonts w:hint="eastAsia" w:ascii="仿宋_GB2312" w:hAnsi="仿宋_GB2312" w:eastAsia="仿宋_GB2312" w:cs="仿宋_GB2312"/>
                <w:color w:val="auto"/>
                <w:sz w:val="28"/>
                <w:szCs w:val="28"/>
                <w:highlight w:val="none"/>
                <w:u w:val="none"/>
                <w:vertAlign w:val="baseline"/>
                <w:lang w:val="en-US" w:eastAsia="zh-CN"/>
              </w:rPr>
              <w:t>以永安市、大田县等历史遗留废弃矿山集中区为重点区域，结合文江溪等流域综合治理，以地质环境安全隐患消除、地形重塑、植被恢复、废弃土地复垦利用等为主要治理内容，分类施策，实施历史遗留矿山生态修复工程。历史遗留矿山修复治理面积不少于省级下达任务。</w:t>
            </w:r>
          </w:p>
        </w:tc>
      </w:tr>
      <w:bookmarkEnd w:id="25"/>
    </w:tbl>
    <w:p>
      <w:pPr>
        <w:widowControl w:val="0"/>
        <w:kinsoku/>
        <w:spacing w:line="600" w:lineRule="exact"/>
        <w:ind w:firstLine="640" w:firstLineChars="200"/>
        <w:jc w:val="both"/>
        <w:outlineLvl w:val="0"/>
        <w:rPr>
          <w:rFonts w:hint="eastAsia" w:ascii="黑体" w:hAnsi="黑体" w:eastAsia="黑体" w:cs="黑体"/>
          <w:color w:val="auto"/>
          <w:sz w:val="32"/>
          <w:szCs w:val="32"/>
          <w:lang w:val="en-US" w:eastAsia="zh-CN"/>
        </w:rPr>
      </w:pPr>
      <w:bookmarkStart w:id="31" w:name="_Toc729542508"/>
      <w:bookmarkStart w:id="32" w:name="_Toc437123947"/>
      <w:bookmarkStart w:id="33" w:name="_Toc1724125270"/>
      <w:r>
        <w:rPr>
          <w:rFonts w:hint="eastAsia" w:ascii="黑体" w:hAnsi="黑体" w:eastAsia="黑体" w:cs="黑体"/>
          <w:color w:val="auto"/>
          <w:sz w:val="32"/>
          <w:szCs w:val="32"/>
          <w:lang w:val="en-US" w:eastAsia="zh-CN"/>
        </w:rPr>
        <w:t>七、筑牢自然资源领域安全生产防线</w:t>
      </w:r>
      <w:bookmarkEnd w:id="31"/>
    </w:p>
    <w:p>
      <w:pPr>
        <w:pStyle w:val="2"/>
        <w:keepNext w:val="0"/>
        <w:keepLines w:val="0"/>
        <w:pageBreakBefore w:val="0"/>
        <w:widowControl/>
        <w:kinsoku/>
        <w:wordWrap/>
        <w:overflowPunct/>
        <w:topLinePunct/>
        <w:autoSpaceDE w:val="0"/>
        <w:autoSpaceDN/>
        <w:bidi w:val="0"/>
        <w:adjustRightInd w:val="0"/>
        <w:snapToGrid w:val="0"/>
        <w:spacing w:line="600" w:lineRule="exact"/>
        <w:ind w:firstLine="642" w:firstLineChars="200"/>
        <w:textAlignment w:val="baseline"/>
        <w:rPr>
          <w:rFonts w:hint="eastAsia" w:ascii="楷体_GB2312" w:hAnsi="楷体_GB2312" w:eastAsia="楷体_GB2312" w:cs="楷体_GB2312"/>
          <w:b/>
          <w:bCs/>
          <w:color w:val="auto"/>
          <w:sz w:val="32"/>
          <w:szCs w:val="32"/>
          <w:highlight w:val="none"/>
          <w:u w:val="none"/>
          <w:lang w:val="en-US" w:eastAsia="zh-CN"/>
        </w:rPr>
      </w:pPr>
      <w:bookmarkStart w:id="34" w:name="_Toc1230947229"/>
      <w:r>
        <w:rPr>
          <w:rFonts w:hint="eastAsia" w:ascii="楷体_GB2312" w:hAnsi="楷体_GB2312" w:eastAsia="楷体_GB2312" w:cs="楷体_GB2312"/>
          <w:b/>
          <w:bCs/>
          <w:color w:val="auto"/>
          <w:sz w:val="32"/>
          <w:szCs w:val="32"/>
          <w:highlight w:val="none"/>
          <w:u w:val="none"/>
          <w:lang w:val="en-US" w:eastAsia="zh-CN"/>
        </w:rPr>
        <w:t>（一）全面加强安全生产建设</w:t>
      </w:r>
      <w:bookmarkEnd w:id="34"/>
    </w:p>
    <w:p>
      <w:pPr>
        <w:pStyle w:val="2"/>
        <w:keepNext w:val="0"/>
        <w:keepLines w:val="0"/>
        <w:pageBreakBefore w:val="0"/>
        <w:widowControl/>
        <w:kinsoku/>
        <w:wordWrap/>
        <w:overflowPunct/>
        <w:topLinePunct/>
        <w:autoSpaceDE w:val="0"/>
        <w:autoSpaceDN/>
        <w:bidi w:val="0"/>
        <w:adjustRightInd w:val="0"/>
        <w:snapToGrid w:val="0"/>
        <w:spacing w:line="600" w:lineRule="exact"/>
        <w:ind w:firstLine="640" w:firstLineChars="200"/>
        <w:textAlignment w:val="baseline"/>
        <w:rPr>
          <w:rFonts w:hint="default"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 xml:space="preserve">深化安全生产治本攻坚行动，细化自然资源领域重点工作任务，深入排查整治各类风险隐患，落实重大事故隐患动态清零。深化安全生产标准化体系建设，动态更新“一图一表一清单”，规范检查流程，实现安全风险可视化、管控精准化、责任明晰化。探索建立风险分级管控和隐患排查治理双重预防机制，定期组织开展风险辨识评估。强化自然资源、应急、工信、公安等部门联动协作、信息共享、会商研判，持续加强对非法违法采矿行为的动态监测和精准打击。聚焦领域重点防控环节，压紧压实安全防范责任，健全全域联动、分级负责、快速响应、精准处置的应急保障体系。 </w:t>
      </w:r>
    </w:p>
    <w:p>
      <w:pPr>
        <w:pStyle w:val="2"/>
        <w:keepNext w:val="0"/>
        <w:keepLines w:val="0"/>
        <w:pageBreakBefore w:val="0"/>
        <w:widowControl w:val="0"/>
        <w:kinsoku/>
        <w:wordWrap/>
        <w:overflowPunct/>
        <w:topLinePunct/>
        <w:autoSpaceDE w:val="0"/>
        <w:autoSpaceDN/>
        <w:bidi w:val="0"/>
        <w:adjustRightInd w:val="0"/>
        <w:snapToGrid w:val="0"/>
        <w:spacing w:line="600" w:lineRule="exact"/>
        <w:ind w:firstLine="642" w:firstLineChars="200"/>
        <w:textAlignment w:val="baseline"/>
        <w:rPr>
          <w:rFonts w:hint="eastAsia" w:ascii="楷体_GB2312" w:hAnsi="楷体_GB2312" w:eastAsia="楷体_GB2312" w:cs="楷体_GB2312"/>
          <w:b/>
          <w:bCs/>
          <w:color w:val="auto"/>
          <w:sz w:val="32"/>
          <w:szCs w:val="32"/>
          <w:highlight w:val="none"/>
          <w:u w:val="none"/>
          <w:lang w:val="en-US" w:eastAsia="zh-CN"/>
        </w:rPr>
      </w:pPr>
      <w:bookmarkStart w:id="35" w:name="_Toc551944985"/>
      <w:r>
        <w:rPr>
          <w:rFonts w:hint="eastAsia" w:ascii="楷体_GB2312" w:hAnsi="楷体_GB2312" w:eastAsia="楷体_GB2312" w:cs="楷体_GB2312"/>
          <w:b/>
          <w:bCs/>
          <w:color w:val="auto"/>
          <w:sz w:val="32"/>
          <w:szCs w:val="32"/>
          <w:highlight w:val="none"/>
          <w:u w:val="none"/>
          <w:lang w:val="en-US" w:eastAsia="zh-CN"/>
        </w:rPr>
        <w:t>（二）提升自然灾害防灾减灾能力</w:t>
      </w:r>
      <w:bookmarkEnd w:id="35"/>
    </w:p>
    <w:p>
      <w:pPr>
        <w:pStyle w:val="2"/>
        <w:keepNext w:val="0"/>
        <w:keepLines w:val="0"/>
        <w:pageBreakBefore w:val="0"/>
        <w:widowControl w:val="0"/>
        <w:kinsoku/>
        <w:wordWrap/>
        <w:overflowPunct/>
        <w:topLinePunct/>
        <w:autoSpaceDE w:val="0"/>
        <w:autoSpaceDN/>
        <w:bidi w:val="0"/>
        <w:adjustRightInd w:val="0"/>
        <w:snapToGrid w:val="0"/>
        <w:spacing w:line="600" w:lineRule="exact"/>
        <w:ind w:firstLine="640" w:firstLineChars="200"/>
        <w:textAlignment w:val="baseline"/>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常态化开展地质灾害隐患拉网式排查、“回头看”检查和专项排查，重点聚焦高风险区域、薄弱环节和极端天气前后排查，及时发现新增隐患，实行分级管控。强化建设项目地质灾害危险性评估管理，从源头上规避地质灾害风险。深化与气象部门的合作，提高预警精度，及时将预警信息传递到村、户、人。积极推广自动化监测台站应用，完善运维体系，构建“专业监测+群测群防”立体监测网络。坚持分类施策、精准治理，对威胁人员密集区的重大隐患，优先纳入治理计划，尽早消除或降低灾害风险。对治理难度大、治理成本高、风险无法有效管控的地质灾害隐患点，指导基层实施受威胁群众搬迁避让，从根本上消除地质灾害威胁。“十五五”期间，推进一批重大地质灾害隐患点综合治理，推动隐患点风险等级降级或销号。</w:t>
      </w:r>
    </w:p>
    <w:p>
      <w:pPr>
        <w:pStyle w:val="3"/>
        <w:rPr>
          <w:rFonts w:hint="eastAsia"/>
          <w:lang w:val="en-US" w:eastAsia="zh-CN"/>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vAlign w:val="center"/>
          </w:tcPr>
          <w:p>
            <w:pPr>
              <w:keepNext w:val="0"/>
              <w:keepLines w:val="0"/>
              <w:pageBreakBefore w:val="0"/>
              <w:widowControl/>
              <w:kinsoku/>
              <w:wordWrap/>
              <w:overflowPunct/>
              <w:topLinePunct w:val="0"/>
              <w:autoSpaceDE w:val="0"/>
              <w:autoSpaceDN w:val="0"/>
              <w:bidi w:val="0"/>
              <w:adjustRightInd w:val="0"/>
              <w:snapToGrid w:val="0"/>
              <w:spacing w:line="540" w:lineRule="exact"/>
              <w:jc w:val="center"/>
              <w:textAlignment w:val="baseline"/>
              <w:rPr>
                <w:rFonts w:hint="default" w:ascii="仿宋_GB2312" w:hAnsi="仿宋_GB2312" w:eastAsia="仿宋_GB2312" w:cs="仿宋_GB2312"/>
                <w:color w:val="auto"/>
                <w:sz w:val="28"/>
                <w:szCs w:val="28"/>
                <w:highlight w:val="none"/>
                <w:u w:val="none"/>
                <w:vertAlign w:val="baseline"/>
                <w:lang w:val="en-US" w:eastAsia="zh-CN"/>
              </w:rPr>
            </w:pPr>
            <w:r>
              <w:rPr>
                <w:rFonts w:hint="eastAsia" w:ascii="黑体" w:hAnsi="黑体" w:eastAsia="黑体" w:cs="黑体"/>
                <w:color w:val="auto"/>
                <w:sz w:val="28"/>
                <w:szCs w:val="28"/>
                <w:highlight w:val="none"/>
                <w:u w:val="none"/>
                <w:vertAlign w:val="baseline"/>
                <w:lang w:eastAsia="zh-CN"/>
              </w:rPr>
              <w:t>专栏</w:t>
            </w:r>
            <w:r>
              <w:rPr>
                <w:rFonts w:hint="eastAsia" w:ascii="黑体" w:hAnsi="黑体" w:eastAsia="黑体" w:cs="黑体"/>
                <w:color w:val="auto"/>
                <w:sz w:val="28"/>
                <w:szCs w:val="28"/>
                <w:highlight w:val="none"/>
                <w:u w:val="none"/>
                <w:vertAlign w:val="baseline"/>
                <w:lang w:val="en-US" w:eastAsia="zh-CN"/>
              </w:rPr>
              <w:t>4 地质灾害综合防治工程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vAlign w:val="center"/>
          </w:tcPr>
          <w:p>
            <w:pPr>
              <w:keepNext w:val="0"/>
              <w:keepLines w:val="0"/>
              <w:pageBreakBefore w:val="0"/>
              <w:widowControl/>
              <w:kinsoku/>
              <w:wordWrap/>
              <w:overflowPunct/>
              <w:topLinePunct w:val="0"/>
              <w:autoSpaceDE w:val="0"/>
              <w:autoSpaceDN w:val="0"/>
              <w:bidi w:val="0"/>
              <w:adjustRightInd w:val="0"/>
              <w:snapToGrid w:val="0"/>
              <w:spacing w:line="540" w:lineRule="exact"/>
              <w:ind w:firstLine="562" w:firstLineChars="200"/>
              <w:jc w:val="left"/>
              <w:textAlignment w:val="baseline"/>
              <w:rPr>
                <w:rFonts w:hint="eastAsia" w:ascii="仿宋_GB2312" w:hAnsi="仿宋_GB2312" w:eastAsia="仿宋_GB2312" w:cs="仿宋_GB2312"/>
                <w:color w:val="auto"/>
                <w:sz w:val="28"/>
                <w:szCs w:val="28"/>
                <w:highlight w:val="none"/>
                <w:u w:val="none"/>
                <w:vertAlign w:val="baseline"/>
                <w:lang w:val="en-US" w:eastAsia="zh-CN"/>
              </w:rPr>
            </w:pPr>
            <w:r>
              <w:rPr>
                <w:rFonts w:hint="eastAsia" w:ascii="楷体_GB2312" w:hAnsi="楷体_GB2312" w:eastAsia="楷体_GB2312" w:cs="楷体_GB2312"/>
                <w:b/>
                <w:bCs/>
                <w:color w:val="auto"/>
                <w:sz w:val="28"/>
                <w:szCs w:val="28"/>
                <w:highlight w:val="none"/>
                <w:u w:val="none"/>
                <w:shd w:val="clear" w:color="auto" w:fill="FFFFFF"/>
                <w:vertAlign w:val="baseline"/>
                <w:lang w:val="en-US" w:eastAsia="zh-CN"/>
              </w:rPr>
              <w:t>1.地质灾害风险防控。</w:t>
            </w:r>
            <w:r>
              <w:rPr>
                <w:rFonts w:hint="eastAsia" w:ascii="仿宋_GB2312" w:hAnsi="仿宋_GB2312" w:eastAsia="仿宋_GB2312" w:cs="仿宋_GB2312"/>
                <w:color w:val="auto"/>
                <w:sz w:val="28"/>
                <w:szCs w:val="28"/>
                <w:highlight w:val="none"/>
                <w:u w:val="none"/>
                <w:vertAlign w:val="baseline"/>
                <w:lang w:val="en-US" w:eastAsia="zh-CN"/>
              </w:rPr>
              <w:t>完成11个县（市、区）地质灾害隐患点和风险区更新调查，优先实施68个城镇重点区域地质灾害精细化风险调查，实现风险动态管控。</w:t>
            </w:r>
          </w:p>
          <w:p>
            <w:pPr>
              <w:keepNext w:val="0"/>
              <w:keepLines w:val="0"/>
              <w:pageBreakBefore w:val="0"/>
              <w:widowControl/>
              <w:kinsoku/>
              <w:wordWrap/>
              <w:overflowPunct/>
              <w:topLinePunct w:val="0"/>
              <w:autoSpaceDE w:val="0"/>
              <w:autoSpaceDN w:val="0"/>
              <w:bidi w:val="0"/>
              <w:adjustRightInd w:val="0"/>
              <w:snapToGrid w:val="0"/>
              <w:spacing w:line="540" w:lineRule="exact"/>
              <w:ind w:firstLine="562" w:firstLineChars="200"/>
              <w:jc w:val="left"/>
              <w:textAlignment w:val="baseline"/>
              <w:rPr>
                <w:rFonts w:hint="default" w:ascii="仿宋_GB2312" w:hAnsi="仿宋_GB2312" w:eastAsia="仿宋_GB2312" w:cs="仿宋_GB2312"/>
                <w:color w:val="auto"/>
                <w:sz w:val="28"/>
                <w:szCs w:val="28"/>
                <w:highlight w:val="none"/>
                <w:u w:val="none"/>
                <w:vertAlign w:val="baseline"/>
                <w:lang w:val="en-US" w:eastAsia="zh-CN"/>
              </w:rPr>
            </w:pPr>
            <w:r>
              <w:rPr>
                <w:rFonts w:hint="eastAsia" w:ascii="楷体_GB2312" w:hAnsi="楷体_GB2312" w:eastAsia="楷体_GB2312" w:cs="楷体_GB2312"/>
                <w:b/>
                <w:bCs/>
                <w:color w:val="auto"/>
                <w:sz w:val="28"/>
                <w:szCs w:val="28"/>
                <w:highlight w:val="none"/>
                <w:u w:val="none"/>
                <w:shd w:val="clear" w:color="auto" w:fill="FFFFFF"/>
                <w:vertAlign w:val="baseline"/>
                <w:lang w:val="en-US" w:eastAsia="zh-CN"/>
              </w:rPr>
              <w:t>2.地质灾害综合治理。</w:t>
            </w:r>
            <w:r>
              <w:rPr>
                <w:rFonts w:hint="eastAsia" w:ascii="仿宋_GB2312" w:hAnsi="仿宋_GB2312" w:eastAsia="仿宋_GB2312" w:cs="仿宋_GB2312"/>
                <w:color w:val="auto"/>
                <w:sz w:val="28"/>
                <w:szCs w:val="28"/>
                <w:highlight w:val="none"/>
                <w:u w:val="none"/>
                <w:vertAlign w:val="baseline"/>
                <w:lang w:val="en-US" w:eastAsia="zh-CN"/>
              </w:rPr>
              <w:t>推动地质灾害隐患点工程治理40处，减少地质灾害隐患存量，保障群众生命财产安全。</w:t>
            </w:r>
          </w:p>
        </w:tc>
      </w:tr>
    </w:tbl>
    <w:p>
      <w:pPr>
        <w:widowControl w:val="0"/>
        <w:kinsoku/>
        <w:spacing w:line="600" w:lineRule="exact"/>
        <w:ind w:firstLine="640" w:firstLineChars="200"/>
        <w:jc w:val="both"/>
        <w:outlineLvl w:val="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八、完善基础支撑体系</w:t>
      </w:r>
      <w:bookmarkEnd w:id="32"/>
    </w:p>
    <w:p>
      <w:pPr>
        <w:pStyle w:val="2"/>
        <w:keepNext w:val="0"/>
        <w:keepLines w:val="0"/>
        <w:pageBreakBefore w:val="0"/>
        <w:widowControl/>
        <w:kinsoku/>
        <w:wordWrap/>
        <w:overflowPunct/>
        <w:topLinePunct/>
        <w:autoSpaceDE w:val="0"/>
        <w:autoSpaceDN/>
        <w:bidi w:val="0"/>
        <w:adjustRightInd w:val="0"/>
        <w:snapToGrid w:val="0"/>
        <w:spacing w:line="600" w:lineRule="exact"/>
        <w:ind w:firstLine="642" w:firstLineChars="200"/>
        <w:textAlignment w:val="baseline"/>
        <w:rPr>
          <w:rFonts w:hint="eastAsia" w:ascii="楷体_GB2312" w:hAnsi="楷体_GB2312" w:eastAsia="楷体_GB2312" w:cs="楷体_GB2312"/>
          <w:b/>
          <w:bCs/>
          <w:color w:val="auto"/>
          <w:sz w:val="32"/>
          <w:szCs w:val="32"/>
          <w:highlight w:val="none"/>
          <w:u w:val="none"/>
          <w:lang w:val="en-US" w:eastAsia="zh-CN"/>
        </w:rPr>
      </w:pPr>
      <w:bookmarkStart w:id="36" w:name="_Toc652505829"/>
      <w:bookmarkStart w:id="37" w:name="_Toc2010988907"/>
      <w:r>
        <w:rPr>
          <w:rFonts w:hint="eastAsia" w:ascii="楷体_GB2312" w:hAnsi="楷体_GB2312" w:eastAsia="楷体_GB2312" w:cs="楷体_GB2312"/>
          <w:b/>
          <w:bCs/>
          <w:color w:val="auto"/>
          <w:sz w:val="32"/>
          <w:szCs w:val="32"/>
          <w:highlight w:val="none"/>
          <w:u w:val="none"/>
          <w:lang w:val="en-US" w:eastAsia="zh-CN"/>
        </w:rPr>
        <w:t>（一）一体化推进自然资源调查监测</w:t>
      </w:r>
      <w:bookmarkEnd w:id="36"/>
      <w:bookmarkEnd w:id="37"/>
    </w:p>
    <w:p>
      <w:pPr>
        <w:pStyle w:val="2"/>
        <w:keepNext w:val="0"/>
        <w:keepLines w:val="0"/>
        <w:pageBreakBefore w:val="0"/>
        <w:widowControl/>
        <w:kinsoku/>
        <w:wordWrap/>
        <w:overflowPunct/>
        <w:topLinePunct/>
        <w:autoSpaceDE w:val="0"/>
        <w:autoSpaceDN/>
        <w:bidi w:val="0"/>
        <w:adjustRightInd w:val="0"/>
        <w:snapToGrid w:val="0"/>
        <w:spacing w:line="600" w:lineRule="exact"/>
        <w:ind w:firstLine="640" w:firstLineChars="200"/>
        <w:textAlignment w:val="baseline"/>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适时开展第四次全国国土调查，全面查清</w:t>
      </w:r>
      <w:r>
        <w:rPr>
          <w:rFonts w:hint="eastAsia" w:ascii="仿宋_GB2312" w:hAnsi="仿宋_GB2312" w:eastAsia="仿宋_GB2312" w:cs="仿宋_GB2312"/>
          <w:color w:val="FF0000"/>
          <w:sz w:val="32"/>
          <w:szCs w:val="32"/>
          <w:highlight w:val="none"/>
          <w:u w:val="none"/>
          <w:lang w:val="en-US" w:eastAsia="zh-CN"/>
        </w:rPr>
        <w:t>覆盖土地、矿产、森林、湿地、水等各类自然资源家底，掌握</w:t>
      </w:r>
      <w:r>
        <w:rPr>
          <w:rFonts w:hint="eastAsia" w:ascii="仿宋_GB2312" w:hAnsi="仿宋_GB2312" w:eastAsia="仿宋_GB2312" w:cs="仿宋_GB2312"/>
          <w:color w:val="auto"/>
          <w:sz w:val="32"/>
          <w:szCs w:val="32"/>
          <w:highlight w:val="none"/>
          <w:u w:val="none"/>
          <w:lang w:val="en-US" w:eastAsia="zh-CN"/>
        </w:rPr>
        <w:t>国土利用现状变化情况，深化“一张图”调查监测现状数据分析评价和成果共享应用。统筹做好一体化自然资源监测、国土变更调查、森林草原湿地荒漠调查监测，实现数据联动更新。常态化实施日常变更调查监测，加强自然资源变化趋势研判，持续更新自然资源家底,服务经济社会高质量发展。</w:t>
      </w:r>
    </w:p>
    <w:p>
      <w:pPr>
        <w:pStyle w:val="2"/>
        <w:keepNext w:val="0"/>
        <w:keepLines w:val="0"/>
        <w:pageBreakBefore w:val="0"/>
        <w:widowControl/>
        <w:kinsoku/>
        <w:wordWrap/>
        <w:overflowPunct/>
        <w:topLinePunct/>
        <w:autoSpaceDE w:val="0"/>
        <w:autoSpaceDN/>
        <w:bidi w:val="0"/>
        <w:adjustRightInd w:val="0"/>
        <w:snapToGrid w:val="0"/>
        <w:spacing w:line="600" w:lineRule="exact"/>
        <w:ind w:firstLine="642" w:firstLineChars="200"/>
        <w:textAlignment w:val="baseline"/>
        <w:rPr>
          <w:rFonts w:hint="eastAsia" w:ascii="楷体_GB2312" w:hAnsi="楷体_GB2312" w:eastAsia="楷体_GB2312" w:cs="楷体_GB2312"/>
          <w:b/>
          <w:bCs/>
          <w:color w:val="auto"/>
          <w:sz w:val="32"/>
          <w:szCs w:val="32"/>
          <w:highlight w:val="none"/>
          <w:u w:val="none"/>
          <w:lang w:val="en-US" w:eastAsia="zh-CN"/>
        </w:rPr>
      </w:pPr>
      <w:r>
        <w:rPr>
          <w:rFonts w:hint="eastAsia" w:ascii="楷体_GB2312" w:hAnsi="楷体_GB2312" w:eastAsia="楷体_GB2312" w:cs="楷体_GB2312"/>
          <w:b/>
          <w:bCs/>
          <w:color w:val="auto"/>
          <w:sz w:val="32"/>
          <w:szCs w:val="32"/>
          <w:highlight w:val="none"/>
          <w:u w:val="none"/>
          <w:lang w:val="en-US" w:eastAsia="zh-CN"/>
        </w:rPr>
        <w:t>（二）推进测绘地理信息转型升级</w:t>
      </w:r>
      <w:bookmarkEnd w:id="26"/>
      <w:bookmarkEnd w:id="33"/>
    </w:p>
    <w:p>
      <w:pPr>
        <w:pStyle w:val="2"/>
        <w:keepNext w:val="0"/>
        <w:keepLines w:val="0"/>
        <w:pageBreakBefore w:val="0"/>
        <w:widowControl/>
        <w:kinsoku/>
        <w:wordWrap/>
        <w:overflowPunct/>
        <w:topLinePunct/>
        <w:autoSpaceDE w:val="0"/>
        <w:autoSpaceDN/>
        <w:bidi w:val="0"/>
        <w:adjustRightInd w:val="0"/>
        <w:snapToGrid w:val="0"/>
        <w:spacing w:line="600" w:lineRule="exact"/>
        <w:ind w:firstLine="640" w:firstLineChars="200"/>
        <w:textAlignment w:val="baseline"/>
        <w:rPr>
          <w:rFonts w:hint="eastAsia" w:ascii="仿宋_GB2312" w:hAnsi="仿宋_GB2312" w:eastAsia="仿宋_GB2312" w:cs="仿宋_GB2312"/>
          <w:color w:val="auto"/>
          <w:sz w:val="32"/>
          <w:szCs w:val="32"/>
          <w:highlight w:val="none"/>
          <w:u w:val="none"/>
          <w:lang w:val="en-US" w:eastAsia="zh-CN"/>
        </w:rPr>
      </w:pPr>
      <w:bookmarkStart w:id="38" w:name="_Toc1922956403"/>
      <w:bookmarkStart w:id="39" w:name="_Toc223442000"/>
      <w:r>
        <w:rPr>
          <w:rFonts w:hint="eastAsia" w:ascii="仿宋_GB2312" w:hAnsi="仿宋_GB2312" w:eastAsia="仿宋_GB2312" w:cs="仿宋_GB2312"/>
          <w:color w:val="auto"/>
          <w:sz w:val="32"/>
          <w:szCs w:val="32"/>
          <w:highlight w:val="none"/>
          <w:u w:val="none"/>
          <w:lang w:val="en-US" w:eastAsia="zh-CN"/>
        </w:rPr>
        <w:t>对接省级测绘基准更新，完善卫星定位控制网，压实测量标志属地化管护。依托省级航摄资源搭建周期性遥感影像保障体系，推进地理信息公共服务平台向综合服务转型，运用空间数据赋能自然资源监管，为低空经济提供时空基底，健全市县联动应急测绘</w:t>
      </w:r>
      <w:r>
        <w:rPr>
          <w:rFonts w:hint="eastAsia" w:ascii="仿宋_GB2312" w:hAnsi="仿宋_GB2312" w:eastAsia="仿宋_GB2312" w:cs="仿宋_GB2312"/>
          <w:color w:val="FF0000"/>
          <w:sz w:val="32"/>
          <w:szCs w:val="32"/>
          <w:highlight w:val="none"/>
          <w:u w:val="none"/>
          <w:lang w:val="en-US" w:eastAsia="zh-CN"/>
        </w:rPr>
        <w:t>保障</w:t>
      </w:r>
      <w:r>
        <w:rPr>
          <w:rFonts w:hint="eastAsia" w:ascii="仿宋_GB2312" w:hAnsi="仿宋_GB2312" w:eastAsia="仿宋_GB2312" w:cs="仿宋_GB2312"/>
          <w:color w:val="auto"/>
          <w:sz w:val="32"/>
          <w:szCs w:val="32"/>
          <w:highlight w:val="none"/>
          <w:u w:val="none"/>
          <w:lang w:val="en-US" w:eastAsia="zh-CN"/>
        </w:rPr>
        <w:t>机制。动态更新地形图、实景三维三明数据，依托实景三维搭建新型基础测绘体系，落实福建省自然资源“一张图”地理底图建设，构建市县一体监管机制，实现测绘资质、成果质量与涉密安全等全覆盖监管。</w:t>
      </w:r>
    </w:p>
    <w:p>
      <w:pPr>
        <w:pStyle w:val="2"/>
        <w:keepNext w:val="0"/>
        <w:keepLines w:val="0"/>
        <w:pageBreakBefore w:val="0"/>
        <w:widowControl w:val="0"/>
        <w:kinsoku/>
        <w:wordWrap/>
        <w:overflowPunct/>
        <w:topLinePunct/>
        <w:autoSpaceDE w:val="0"/>
        <w:autoSpaceDN/>
        <w:bidi w:val="0"/>
        <w:adjustRightInd w:val="0"/>
        <w:snapToGrid w:val="0"/>
        <w:spacing w:line="600" w:lineRule="exact"/>
        <w:ind w:firstLine="642" w:firstLineChars="200"/>
        <w:jc w:val="both"/>
        <w:textAlignment w:val="baseline"/>
        <w:rPr>
          <w:rFonts w:hint="eastAsia" w:ascii="楷体_GB2312" w:hAnsi="楷体_GB2312" w:eastAsia="楷体_GB2312" w:cs="楷体_GB2312"/>
          <w:b/>
          <w:bCs/>
          <w:color w:val="auto"/>
          <w:sz w:val="32"/>
          <w:szCs w:val="32"/>
          <w:highlight w:val="none"/>
          <w:u w:val="none"/>
          <w:lang w:val="en-US" w:eastAsia="zh-CN"/>
        </w:rPr>
      </w:pPr>
      <w:bookmarkStart w:id="40" w:name="_Toc1249961969"/>
      <w:r>
        <w:rPr>
          <w:rFonts w:hint="eastAsia" w:ascii="楷体_GB2312" w:hAnsi="楷体_GB2312" w:eastAsia="楷体_GB2312" w:cs="楷体_GB2312"/>
          <w:b/>
          <w:bCs/>
          <w:color w:val="auto"/>
          <w:sz w:val="32"/>
          <w:szCs w:val="32"/>
          <w:highlight w:val="none"/>
          <w:u w:val="none"/>
          <w:lang w:val="en-US" w:eastAsia="zh-CN"/>
        </w:rPr>
        <w:t>（三）提升自然资源信息化建设水平</w:t>
      </w:r>
      <w:bookmarkEnd w:id="38"/>
      <w:bookmarkEnd w:id="40"/>
    </w:p>
    <w:p>
      <w:pPr>
        <w:pStyle w:val="2"/>
        <w:keepNext w:val="0"/>
        <w:keepLines w:val="0"/>
        <w:pageBreakBefore w:val="0"/>
        <w:widowControl w:val="0"/>
        <w:kinsoku/>
        <w:wordWrap/>
        <w:overflowPunct/>
        <w:topLinePunct/>
        <w:autoSpaceDE w:val="0"/>
        <w:autoSpaceDN/>
        <w:bidi w:val="0"/>
        <w:adjustRightInd w:val="0"/>
        <w:snapToGrid w:val="0"/>
        <w:spacing w:line="600" w:lineRule="exact"/>
        <w:ind w:firstLine="640" w:firstLineChars="200"/>
        <w:jc w:val="both"/>
        <w:textAlignment w:val="baseline"/>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统一空间基准，以省级测绘基准和数据标准为核心，构建由基础数据、空间规划、管理数据构成的数据资源库，实现数据资源整合与治理，为业务报批提供数据支撑。完善网络安全管理制度，筑牢信息网络安全防护屏障。</w:t>
      </w:r>
    </w:p>
    <w:p>
      <w:pPr>
        <w:pStyle w:val="2"/>
        <w:keepNext w:val="0"/>
        <w:keepLines w:val="0"/>
        <w:pageBreakBefore w:val="0"/>
        <w:widowControl w:val="0"/>
        <w:kinsoku/>
        <w:wordWrap/>
        <w:overflowPunct/>
        <w:topLinePunct/>
        <w:autoSpaceDE w:val="0"/>
        <w:autoSpaceDN/>
        <w:bidi w:val="0"/>
        <w:adjustRightInd w:val="0"/>
        <w:snapToGrid w:val="0"/>
        <w:spacing w:line="600" w:lineRule="exact"/>
        <w:ind w:firstLine="640" w:firstLineChars="200"/>
        <w:jc w:val="both"/>
        <w:textAlignment w:val="baseline"/>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协同推进“一张图”数智底座建设，整合现状、规划、管理等核心数据资源，依托“一张图”时空服务与智能分析，生成国土空间冲突、耕地保护侵占、重大项目选址等分析报告，开展规划实施监测、耕地保护和监督执法等场景应用。</w:t>
      </w:r>
    </w:p>
    <w:p>
      <w:pPr>
        <w:pStyle w:val="2"/>
        <w:keepNext w:val="0"/>
        <w:keepLines w:val="0"/>
        <w:pageBreakBefore w:val="0"/>
        <w:widowControl w:val="0"/>
        <w:kinsoku/>
        <w:wordWrap/>
        <w:overflowPunct/>
        <w:topLinePunct/>
        <w:autoSpaceDE w:val="0"/>
        <w:autoSpaceDN/>
        <w:bidi w:val="0"/>
        <w:adjustRightInd w:val="0"/>
        <w:snapToGrid w:val="0"/>
        <w:spacing w:line="600" w:lineRule="exact"/>
        <w:ind w:firstLine="640" w:firstLineChars="200"/>
        <w:jc w:val="both"/>
        <w:textAlignment w:val="baseline"/>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推进自然资源</w:t>
      </w:r>
      <w:r>
        <w:rPr>
          <w:rFonts w:hint="eastAsia" w:ascii="仿宋_GB2312" w:hAnsi="仿宋_GB2312" w:eastAsia="仿宋_GB2312" w:cs="仿宋_GB2312"/>
          <w:color w:val="FF0000"/>
          <w:sz w:val="32"/>
          <w:szCs w:val="32"/>
          <w:highlight w:val="none"/>
          <w:u w:val="none"/>
          <w:lang w:val="en-US" w:eastAsia="zh-CN"/>
        </w:rPr>
        <w:t>领域</w:t>
      </w:r>
      <w:r>
        <w:rPr>
          <w:rFonts w:hint="eastAsia" w:ascii="仿宋_GB2312" w:hAnsi="仿宋_GB2312" w:eastAsia="仿宋_GB2312" w:cs="仿宋_GB2312"/>
          <w:color w:val="auto"/>
          <w:sz w:val="32"/>
          <w:szCs w:val="32"/>
          <w:highlight w:val="none"/>
          <w:u w:val="none"/>
          <w:lang w:val="en-US" w:eastAsia="zh-CN"/>
        </w:rPr>
        <w:t>人工智能技术落地应用，推动自然资源专家库和智库建设，依托部省</w:t>
      </w:r>
      <w:r>
        <w:rPr>
          <w:rFonts w:hint="eastAsia" w:ascii="仿宋_GB2312" w:hAnsi="仿宋_GB2312" w:eastAsia="仿宋_GB2312" w:cs="仿宋_GB2312"/>
          <w:color w:val="FF0000"/>
          <w:sz w:val="32"/>
          <w:szCs w:val="32"/>
          <w:highlight w:val="none"/>
          <w:u w:val="none"/>
          <w:lang w:val="en-US" w:eastAsia="zh-CN"/>
        </w:rPr>
        <w:t>级</w:t>
      </w:r>
      <w:r>
        <w:rPr>
          <w:rFonts w:hint="eastAsia" w:ascii="仿宋_GB2312" w:hAnsi="仿宋_GB2312" w:eastAsia="仿宋_GB2312" w:cs="仿宋_GB2312"/>
          <w:color w:val="auto"/>
          <w:sz w:val="32"/>
          <w:szCs w:val="32"/>
          <w:highlight w:val="none"/>
          <w:u w:val="none"/>
          <w:lang w:val="en-US" w:eastAsia="zh-CN"/>
        </w:rPr>
        <w:t>丘陵山地地质灾害</w:t>
      </w:r>
      <w:r>
        <w:rPr>
          <w:rFonts w:hint="eastAsia" w:ascii="仿宋_GB2312" w:hAnsi="仿宋_GB2312" w:eastAsia="仿宋_GB2312" w:cs="仿宋_GB2312"/>
          <w:color w:val="FF0000"/>
          <w:sz w:val="32"/>
          <w:szCs w:val="32"/>
          <w:highlight w:val="none"/>
          <w:u w:val="none"/>
          <w:lang w:val="en-US" w:eastAsia="zh-CN"/>
        </w:rPr>
        <w:t>防治</w:t>
      </w:r>
      <w:r>
        <w:rPr>
          <w:rFonts w:hint="eastAsia" w:ascii="仿宋_GB2312" w:hAnsi="仿宋_GB2312" w:eastAsia="仿宋_GB2312" w:cs="仿宋_GB2312"/>
          <w:color w:val="auto"/>
          <w:sz w:val="32"/>
          <w:szCs w:val="32"/>
          <w:highlight w:val="none"/>
          <w:u w:val="none"/>
          <w:lang w:val="en-US" w:eastAsia="zh-CN"/>
        </w:rPr>
        <w:t>重点实验室，赋能地质灾害防治工作。强化技术队伍建设，以科技提升全市自然资源精细化治理水平。</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noWrap w:val="0"/>
            <w:vAlign w:val="center"/>
          </w:tcPr>
          <w:p>
            <w:pPr>
              <w:pStyle w:val="15"/>
              <w:keepNext w:val="0"/>
              <w:keepLines w:val="0"/>
              <w:pageBreakBefore w:val="0"/>
              <w:widowControl w:val="0"/>
              <w:kinsoku/>
              <w:wordWrap/>
              <w:overflowPunct/>
              <w:topLinePunct w:val="0"/>
              <w:autoSpaceDE/>
              <w:autoSpaceDN/>
              <w:bidi w:val="0"/>
              <w:adjustRightInd/>
              <w:snapToGrid/>
              <w:spacing w:before="0" w:beforeLines="0" w:beforeAutospacing="0" w:after="0" w:afterLines="0" w:line="460" w:lineRule="exact"/>
              <w:ind w:left="0" w:leftChars="0" w:firstLine="0" w:firstLineChars="0"/>
              <w:jc w:val="center"/>
              <w:textAlignment w:val="baseline"/>
              <w:rPr>
                <w:rFonts w:hint="eastAsia" w:ascii="宋体" w:hAnsi="宋体" w:eastAsia="仿宋_GB2312" w:cs="仿宋_GB2312"/>
                <w:color w:val="auto"/>
                <w:kern w:val="2"/>
                <w:sz w:val="28"/>
                <w:szCs w:val="28"/>
                <w:highlight w:val="none"/>
                <w:u w:val="none"/>
                <w:vertAlign w:val="baseline"/>
                <w:lang w:val="en-US" w:eastAsia="zh-CN" w:bidi="ar-SA"/>
              </w:rPr>
            </w:pPr>
            <w:r>
              <w:rPr>
                <w:rFonts w:hint="eastAsia" w:ascii="黑体" w:hAnsi="黑体" w:eastAsia="黑体" w:cs="黑体"/>
                <w:snapToGrid w:val="0"/>
                <w:color w:val="auto"/>
                <w:kern w:val="0"/>
                <w:sz w:val="28"/>
                <w:szCs w:val="28"/>
                <w:highlight w:val="none"/>
                <w:u w:val="none"/>
                <w:vertAlign w:val="baseline"/>
                <w:lang w:val="en-US" w:eastAsia="zh-CN" w:bidi="ar-SA"/>
              </w:rPr>
              <w:t>专栏5　测绘地理强基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trPr>
        <w:tc>
          <w:tcPr>
            <w:tcW w:w="9061" w:type="dxa"/>
            <w:noWrap w:val="0"/>
            <w:vAlign w:val="center"/>
          </w:tcPr>
          <w:p>
            <w:pPr>
              <w:keepNext w:val="0"/>
              <w:keepLines w:val="0"/>
              <w:pageBreakBefore w:val="0"/>
              <w:widowControl/>
              <w:kinsoku/>
              <w:wordWrap/>
              <w:overflowPunct/>
              <w:topLinePunct w:val="0"/>
              <w:autoSpaceDE w:val="0"/>
              <w:autoSpaceDN w:val="0"/>
              <w:bidi w:val="0"/>
              <w:adjustRightInd w:val="0"/>
              <w:snapToGrid w:val="0"/>
              <w:spacing w:line="460" w:lineRule="exact"/>
              <w:ind w:firstLine="562" w:firstLineChars="200"/>
              <w:jc w:val="left"/>
              <w:textAlignment w:val="baseline"/>
              <w:rPr>
                <w:rFonts w:hint="eastAsia" w:ascii="仿宋_GB2312" w:hAnsi="仿宋_GB2312" w:eastAsia="仿宋_GB2312" w:cs="仿宋_GB2312"/>
                <w:color w:val="auto"/>
                <w:sz w:val="28"/>
                <w:szCs w:val="28"/>
                <w:highlight w:val="none"/>
                <w:u w:val="none"/>
                <w:vertAlign w:val="baseline"/>
                <w:lang w:val="en-US" w:eastAsia="zh-CN"/>
              </w:rPr>
            </w:pPr>
            <w:r>
              <w:rPr>
                <w:rFonts w:hint="eastAsia" w:ascii="楷体_GB2312" w:hAnsi="楷体_GB2312" w:eastAsia="楷体_GB2312" w:cs="楷体_GB2312"/>
                <w:b/>
                <w:bCs/>
                <w:color w:val="auto"/>
                <w:sz w:val="28"/>
                <w:szCs w:val="28"/>
                <w:highlight w:val="none"/>
                <w:u w:val="none"/>
                <w:shd w:val="clear" w:color="auto" w:fill="FFFFFF"/>
                <w:vertAlign w:val="baseline"/>
                <w:lang w:val="en-US" w:eastAsia="zh-CN"/>
              </w:rPr>
              <w:t>1.空间定位基准建设维护。</w:t>
            </w:r>
            <w:r>
              <w:rPr>
                <w:rFonts w:hint="eastAsia" w:ascii="仿宋_GB2312" w:hAnsi="仿宋_GB2312" w:eastAsia="仿宋_GB2312" w:cs="仿宋_GB2312"/>
                <w:color w:val="FF0000"/>
                <w:sz w:val="28"/>
                <w:szCs w:val="28"/>
                <w:highlight w:val="none"/>
                <w:u w:val="none"/>
                <w:vertAlign w:val="baseline"/>
                <w:lang w:val="en-US" w:eastAsia="zh-CN"/>
              </w:rPr>
              <w:t>常态开展测量标志维护</w:t>
            </w:r>
            <w:r>
              <w:rPr>
                <w:rFonts w:hint="eastAsia" w:ascii="仿宋_GB2312" w:hAnsi="仿宋_GB2312" w:eastAsia="仿宋_GB2312" w:cs="仿宋_GB2312"/>
                <w:color w:val="auto"/>
                <w:sz w:val="28"/>
                <w:szCs w:val="28"/>
                <w:highlight w:val="none"/>
                <w:u w:val="none"/>
                <w:vertAlign w:val="baseline"/>
                <w:lang w:val="en-US" w:eastAsia="zh-CN"/>
              </w:rPr>
              <w:t>，加密全市水准网与C级控制点。</w:t>
            </w:r>
          </w:p>
          <w:p>
            <w:pPr>
              <w:keepNext w:val="0"/>
              <w:keepLines w:val="0"/>
              <w:pageBreakBefore w:val="0"/>
              <w:widowControl/>
              <w:kinsoku/>
              <w:wordWrap/>
              <w:overflowPunct/>
              <w:topLinePunct w:val="0"/>
              <w:autoSpaceDE w:val="0"/>
              <w:autoSpaceDN w:val="0"/>
              <w:bidi w:val="0"/>
              <w:adjustRightInd w:val="0"/>
              <w:snapToGrid w:val="0"/>
              <w:spacing w:line="460" w:lineRule="exact"/>
              <w:ind w:firstLine="562" w:firstLineChars="200"/>
              <w:jc w:val="left"/>
              <w:textAlignment w:val="baseline"/>
              <w:rPr>
                <w:rFonts w:hint="eastAsia" w:ascii="仿宋_GB2312" w:hAnsi="仿宋_GB2312" w:eastAsia="仿宋_GB2312" w:cs="仿宋_GB2312"/>
                <w:color w:val="auto"/>
                <w:sz w:val="28"/>
                <w:szCs w:val="28"/>
                <w:highlight w:val="none"/>
                <w:u w:val="none"/>
                <w:vertAlign w:val="baseline"/>
                <w:lang w:val="en-US" w:eastAsia="zh-CN"/>
              </w:rPr>
            </w:pPr>
            <w:r>
              <w:rPr>
                <w:rFonts w:hint="eastAsia" w:ascii="楷体_GB2312" w:hAnsi="楷体_GB2312" w:eastAsia="楷体_GB2312" w:cs="楷体_GB2312"/>
                <w:b/>
                <w:bCs/>
                <w:color w:val="auto"/>
                <w:sz w:val="28"/>
                <w:szCs w:val="28"/>
                <w:highlight w:val="none"/>
                <w:u w:val="none"/>
                <w:shd w:val="clear" w:color="auto" w:fill="FFFFFF"/>
                <w:vertAlign w:val="baseline"/>
                <w:lang w:val="en-US" w:eastAsia="zh-CN"/>
              </w:rPr>
              <w:t>2.基础地理信息</w:t>
            </w:r>
            <w:r>
              <w:rPr>
                <w:rFonts w:hint="eastAsia" w:ascii="楷体_GB2312" w:hAnsi="楷体_GB2312" w:eastAsia="楷体_GB2312" w:cs="楷体_GB2312"/>
                <w:b/>
                <w:bCs/>
                <w:color w:val="FF0000"/>
                <w:sz w:val="28"/>
                <w:szCs w:val="28"/>
                <w:highlight w:val="none"/>
                <w:u w:val="none"/>
                <w:shd w:val="clear" w:color="auto" w:fill="FFFFFF"/>
                <w:vertAlign w:val="baseline"/>
                <w:lang w:val="en-US" w:eastAsia="zh-CN"/>
              </w:rPr>
              <w:t>数据</w:t>
            </w:r>
            <w:r>
              <w:rPr>
                <w:rFonts w:hint="eastAsia" w:ascii="楷体_GB2312" w:hAnsi="楷体_GB2312" w:eastAsia="楷体_GB2312" w:cs="楷体_GB2312"/>
                <w:b/>
                <w:bCs/>
                <w:color w:val="auto"/>
                <w:sz w:val="28"/>
                <w:szCs w:val="28"/>
                <w:highlight w:val="none"/>
                <w:u w:val="none"/>
                <w:shd w:val="clear" w:color="auto" w:fill="FFFFFF"/>
                <w:vertAlign w:val="baseline"/>
                <w:lang w:val="en-US" w:eastAsia="zh-CN"/>
              </w:rPr>
              <w:t>资源建设。</w:t>
            </w:r>
            <w:r>
              <w:rPr>
                <w:rFonts w:hint="eastAsia" w:ascii="仿宋_GB2312" w:hAnsi="仿宋_GB2312" w:eastAsia="仿宋_GB2312" w:cs="仿宋_GB2312"/>
                <w:color w:val="auto"/>
                <w:sz w:val="28"/>
                <w:szCs w:val="28"/>
                <w:highlight w:val="none"/>
                <w:u w:val="none"/>
                <w:vertAlign w:val="baseline"/>
                <w:lang w:val="en-US" w:eastAsia="zh-CN"/>
              </w:rPr>
              <w:t>更新基本比例尺地形图，统筹获取多分辨率遥感影像，实现中心城区、全市域及重点区域分级覆盖。常态化开展实景三维三明数据更新，持续推进实景三维建设向县域拓展。</w:t>
            </w:r>
          </w:p>
          <w:p>
            <w:pPr>
              <w:keepNext w:val="0"/>
              <w:keepLines w:val="0"/>
              <w:pageBreakBefore w:val="0"/>
              <w:widowControl/>
              <w:kinsoku/>
              <w:wordWrap/>
              <w:overflowPunct/>
              <w:topLinePunct w:val="0"/>
              <w:autoSpaceDE w:val="0"/>
              <w:autoSpaceDN w:val="0"/>
              <w:bidi w:val="0"/>
              <w:adjustRightInd w:val="0"/>
              <w:snapToGrid w:val="0"/>
              <w:spacing w:line="460" w:lineRule="exact"/>
              <w:ind w:firstLine="562" w:firstLineChars="200"/>
              <w:jc w:val="left"/>
              <w:textAlignment w:val="baseline"/>
              <w:rPr>
                <w:rFonts w:hint="eastAsia" w:ascii="宋体" w:hAnsi="宋体" w:eastAsia="仿宋_GB2312" w:cs="仿宋_GB2312"/>
                <w:color w:val="auto"/>
                <w:kern w:val="2"/>
                <w:sz w:val="28"/>
                <w:szCs w:val="28"/>
                <w:highlight w:val="none"/>
                <w:u w:val="none"/>
                <w:vertAlign w:val="baseline"/>
                <w:lang w:val="en-US" w:eastAsia="zh-CN" w:bidi="ar-SA"/>
              </w:rPr>
            </w:pPr>
            <w:r>
              <w:rPr>
                <w:rFonts w:hint="eastAsia" w:ascii="楷体_GB2312" w:hAnsi="楷体_GB2312" w:eastAsia="楷体_GB2312" w:cs="楷体_GB2312"/>
                <w:b/>
                <w:bCs/>
                <w:color w:val="auto"/>
                <w:sz w:val="28"/>
                <w:szCs w:val="28"/>
                <w:highlight w:val="none"/>
                <w:u w:val="none"/>
                <w:shd w:val="clear" w:color="auto" w:fill="FFFFFF"/>
                <w:vertAlign w:val="baseline"/>
                <w:lang w:val="en-US" w:eastAsia="zh-CN"/>
              </w:rPr>
              <w:t>3.新一代天地图·三明建设。</w:t>
            </w:r>
            <w:r>
              <w:rPr>
                <w:rFonts w:hint="eastAsia" w:ascii="仿宋_GB2312" w:hAnsi="仿宋_GB2312" w:eastAsia="仿宋_GB2312" w:cs="仿宋_GB2312"/>
                <w:color w:val="auto"/>
                <w:sz w:val="28"/>
                <w:szCs w:val="28"/>
                <w:highlight w:val="none"/>
                <w:u w:val="none"/>
                <w:vertAlign w:val="baseline"/>
                <w:lang w:val="en-US" w:eastAsia="zh-CN"/>
              </w:rPr>
              <w:t>按照《福建省新一代地理信息公共服务平台 （天地图）建设总体方案》，优化平台功能与体验，提升平台综合服务水平。</w:t>
            </w:r>
          </w:p>
        </w:tc>
      </w:tr>
    </w:tbl>
    <w:p>
      <w:pPr>
        <w:widowControl w:val="0"/>
        <w:kinsoku/>
        <w:spacing w:line="600" w:lineRule="exact"/>
        <w:ind w:firstLine="640" w:firstLineChars="200"/>
        <w:jc w:val="both"/>
        <w:outlineLvl w:val="0"/>
        <w:rPr>
          <w:rFonts w:hint="eastAsia" w:ascii="黑体" w:hAnsi="黑体" w:eastAsia="黑体" w:cs="黑体"/>
          <w:color w:val="auto"/>
          <w:sz w:val="32"/>
          <w:szCs w:val="32"/>
          <w:lang w:val="en-US" w:eastAsia="zh-CN"/>
        </w:rPr>
      </w:pPr>
      <w:bookmarkStart w:id="41" w:name="_Toc322344173"/>
      <w:r>
        <w:rPr>
          <w:rFonts w:hint="eastAsia" w:ascii="黑体" w:hAnsi="黑体" w:eastAsia="黑体" w:cs="黑体"/>
          <w:color w:val="auto"/>
          <w:sz w:val="32"/>
          <w:szCs w:val="32"/>
          <w:lang w:val="en-US" w:eastAsia="zh-CN"/>
        </w:rPr>
        <w:t>九、提升依法行政水平</w:t>
      </w:r>
      <w:bookmarkEnd w:id="39"/>
      <w:bookmarkEnd w:id="41"/>
    </w:p>
    <w:p>
      <w:pPr>
        <w:pStyle w:val="2"/>
        <w:keepNext w:val="0"/>
        <w:keepLines w:val="0"/>
        <w:pageBreakBefore w:val="0"/>
        <w:widowControl/>
        <w:kinsoku/>
        <w:wordWrap/>
        <w:overflowPunct/>
        <w:topLinePunct/>
        <w:autoSpaceDE w:val="0"/>
        <w:autoSpaceDN/>
        <w:bidi w:val="0"/>
        <w:adjustRightInd w:val="0"/>
        <w:snapToGrid w:val="0"/>
        <w:spacing w:line="600" w:lineRule="exact"/>
        <w:ind w:firstLine="640" w:firstLineChars="200"/>
        <w:textAlignment w:val="baseline"/>
        <w:rPr>
          <w:rFonts w:hint="eastAsia" w:ascii="仿宋_GB2312" w:hAnsi="仿宋_GB2312" w:eastAsia="仿宋_GB2312" w:cs="仿宋_GB2312"/>
          <w:color w:val="auto"/>
          <w:sz w:val="32"/>
          <w:szCs w:val="32"/>
          <w:highlight w:val="none"/>
          <w:u w:val="none"/>
          <w:lang w:val="en-US" w:eastAsia="zh-CN"/>
        </w:rPr>
      </w:pPr>
      <w:bookmarkStart w:id="42" w:name="_Toc1043184978"/>
      <w:r>
        <w:rPr>
          <w:rFonts w:hint="eastAsia" w:ascii="仿宋_GB2312" w:hAnsi="仿宋_GB2312" w:eastAsia="仿宋_GB2312" w:cs="仿宋_GB2312"/>
          <w:color w:val="auto"/>
          <w:sz w:val="32"/>
          <w:szCs w:val="32"/>
          <w:highlight w:val="none"/>
          <w:u w:val="none"/>
          <w:lang w:val="en-US" w:eastAsia="zh-CN"/>
        </w:rPr>
        <w:t>全面推进法治自然资源建设，完善法规制度与政务服务体系，持续优化审批流程，优化营商环境。加强府院联动，深化行刑、行检、行纪结合，推进自然资源管理规范化和专业化。健全内部监督制约机制，加强合法性审核，规范行政裁量权，打造专业化、规范化自然资源法治队伍。常态化解信访矛盾，规范信访受理流程，加强信访问题源头治理，推动历史积案化解，切实维护社会和谐稳定。</w:t>
      </w:r>
    </w:p>
    <w:p>
      <w:pPr>
        <w:widowControl w:val="0"/>
        <w:kinsoku/>
        <w:spacing w:line="600" w:lineRule="exact"/>
        <w:ind w:firstLine="640" w:firstLineChars="200"/>
        <w:jc w:val="both"/>
        <w:outlineLvl w:val="0"/>
        <w:rPr>
          <w:rFonts w:hint="eastAsia" w:ascii="黑体" w:hAnsi="黑体" w:eastAsia="黑体" w:cs="黑体"/>
          <w:color w:val="auto"/>
          <w:sz w:val="32"/>
          <w:szCs w:val="32"/>
          <w:lang w:val="en-US" w:eastAsia="zh-CN"/>
        </w:rPr>
      </w:pPr>
      <w:bookmarkStart w:id="43" w:name="_Toc1249640260"/>
      <w:r>
        <w:rPr>
          <w:rFonts w:hint="eastAsia" w:ascii="黑体" w:hAnsi="黑体" w:eastAsia="黑体" w:cs="黑体"/>
          <w:color w:val="auto"/>
          <w:sz w:val="32"/>
          <w:szCs w:val="32"/>
          <w:lang w:val="en-US" w:eastAsia="zh-CN"/>
        </w:rPr>
        <w:t>十、健全规划实施保障</w:t>
      </w:r>
      <w:bookmarkEnd w:id="42"/>
      <w:bookmarkEnd w:id="43"/>
    </w:p>
    <w:p>
      <w:pPr>
        <w:pStyle w:val="2"/>
        <w:keepNext w:val="0"/>
        <w:keepLines w:val="0"/>
        <w:pageBreakBefore w:val="0"/>
        <w:widowControl/>
        <w:kinsoku/>
        <w:wordWrap/>
        <w:overflowPunct/>
        <w:topLinePunct/>
        <w:autoSpaceDE w:val="0"/>
        <w:autoSpaceDN/>
        <w:bidi w:val="0"/>
        <w:adjustRightInd w:val="0"/>
        <w:snapToGrid w:val="0"/>
        <w:spacing w:line="600" w:lineRule="exact"/>
        <w:ind w:firstLine="640" w:firstLineChars="200"/>
        <w:textAlignment w:val="baseline"/>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坚持把党的全面领导贯穿规划实施全过程，确保省委、市委决策部署落到实处。各级各有关部门要建立健全协同联动工作机制，加强规划实施全周期监督与动态管理，对任务工程实行清单化管理，适时开展规划实施情况中期评估和总结评估，评估结果作为加强和改进规划实施的重要依据。</w:t>
      </w:r>
    </w:p>
    <w:sectPr>
      <w:footerReference r:id="rId5" w:type="default"/>
      <w:pgSz w:w="11906" w:h="16838"/>
      <w:pgMar w:top="2098" w:right="1417" w:bottom="1587" w:left="1587" w:header="851" w:footer="992" w:gutter="0"/>
      <w:pgNumType w:fmt="decimal" w:start="2"/>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仿宋">
    <w:altName w:val="宋体"/>
    <w:panose1 w:val="02010609060101010101"/>
    <w:charset w:val="86"/>
    <w:family w:val="auto"/>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keepNext w:val="0"/>
                            <w:keepLines w:val="0"/>
                            <w:pageBreakBefore w:val="0"/>
                            <w:widowControl w:val="0"/>
                            <w:kinsoku/>
                            <w:wordWrap/>
                            <w:overflowPunct w:val="0"/>
                            <w:topLinePunct w:val="0"/>
                            <w:autoSpaceDE w:val="0"/>
                            <w:autoSpaceDN w:val="0"/>
                            <w:bidi w:val="0"/>
                            <w:adjustRightInd w:val="0"/>
                            <w:snapToGrid w:val="0"/>
                            <w:spacing w:line="240" w:lineRule="auto"/>
                            <w:ind w:left="210" w:leftChars="100" w:right="210" w:rightChars="100"/>
                            <w:textAlignment w:val="baseline"/>
                            <w:outlineLvl w:val="9"/>
                          </w:pPr>
                          <w:r>
                            <w:rPr>
                              <w:rStyle w:val="11"/>
                              <w:rFonts w:hint="eastAsia" w:ascii="宋体" w:hAnsi="宋体" w:eastAsia="宋体"/>
                              <w:sz w:val="28"/>
                            </w:rPr>
                            <w:t>—</w:t>
                          </w:r>
                          <w:r>
                            <w:rPr>
                              <w:rStyle w:val="11"/>
                              <w:rFonts w:ascii="宋体" w:hAnsi="宋体" w:eastAsia="宋体"/>
                              <w:sz w:val="28"/>
                            </w:rPr>
                            <w:t xml:space="preserve"> </w:t>
                          </w:r>
                          <w:r>
                            <w:rPr>
                              <w:rFonts w:ascii="宋体" w:hAnsi="宋体" w:eastAsia="宋体"/>
                              <w:sz w:val="28"/>
                            </w:rPr>
                            <w:fldChar w:fldCharType="begin"/>
                          </w:r>
                          <w:r>
                            <w:rPr>
                              <w:rStyle w:val="11"/>
                              <w:rFonts w:ascii="宋体" w:hAnsi="宋体" w:eastAsia="宋体"/>
                              <w:sz w:val="28"/>
                            </w:rPr>
                            <w:instrText xml:space="preserve">PAGE  </w:instrText>
                          </w:r>
                          <w:r>
                            <w:rPr>
                              <w:rFonts w:ascii="宋体" w:hAnsi="宋体" w:eastAsia="宋体"/>
                              <w:sz w:val="28"/>
                            </w:rPr>
                            <w:fldChar w:fldCharType="separate"/>
                          </w:r>
                          <w:r>
                            <w:rPr>
                              <w:rStyle w:val="11"/>
                              <w:rFonts w:ascii="宋体" w:hAnsi="宋体" w:eastAsia="宋体"/>
                              <w:sz w:val="28"/>
                            </w:rPr>
                            <w:t>1</w:t>
                          </w:r>
                          <w:r>
                            <w:rPr>
                              <w:rFonts w:ascii="宋体" w:hAnsi="宋体" w:eastAsia="宋体"/>
                              <w:sz w:val="28"/>
                            </w:rPr>
                            <w:fldChar w:fldCharType="end"/>
                          </w:r>
                          <w:r>
                            <w:rPr>
                              <w:rStyle w:val="11"/>
                              <w:rFonts w:ascii="宋体" w:hAnsi="宋体" w:eastAsia="宋体"/>
                              <w:sz w:val="28"/>
                            </w:rPr>
                            <w:t xml:space="preserve"> —</w:t>
                          </w:r>
                        </w:p>
                        <w:p>
                          <w:pPr>
                            <w:rPr>
                              <w:rFonts w:hint="eastAsia"/>
                            </w:rPr>
                          </w:pP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">
              <v:fill on="f" focussize="0,0"/>
              <v:stroke on="f"/>
              <v:imagedata o:title=""/>
              <o:lock v:ext="edit" aspectratio="f"/>
              <v:textbox inset="0mm,0mm,0mm,0mm" style="mso-fit-shape-to-text:t;">
                <w:txbxContent>
                  <w:p>
                    <w:pPr>
                      <w:pStyle w:val="4"/>
                      <w:keepNext w:val="0"/>
                      <w:keepLines w:val="0"/>
                      <w:pageBreakBefore w:val="0"/>
                      <w:widowControl w:val="0"/>
                      <w:kinsoku/>
                      <w:wordWrap/>
                      <w:overflowPunct w:val="0"/>
                      <w:topLinePunct w:val="0"/>
                      <w:autoSpaceDE w:val="0"/>
                      <w:autoSpaceDN w:val="0"/>
                      <w:bidi w:val="0"/>
                      <w:adjustRightInd w:val="0"/>
                      <w:snapToGrid w:val="0"/>
                      <w:spacing w:line="240" w:lineRule="auto"/>
                      <w:ind w:left="210" w:leftChars="100" w:right="210" w:rightChars="100"/>
                      <w:textAlignment w:val="baseline"/>
                      <w:outlineLvl w:val="9"/>
                    </w:pPr>
                    <w:r>
                      <w:rPr>
                        <w:rStyle w:val="11"/>
                        <w:rFonts w:hint="eastAsia" w:ascii="宋体" w:hAnsi="宋体" w:eastAsia="宋体"/>
                        <w:sz w:val="28"/>
                      </w:rPr>
                      <w:t>—</w:t>
                    </w:r>
                    <w:r>
                      <w:rPr>
                        <w:rStyle w:val="11"/>
                        <w:rFonts w:ascii="宋体" w:hAnsi="宋体" w:eastAsia="宋体"/>
                        <w:sz w:val="28"/>
                      </w:rPr>
                      <w:t xml:space="preserve"> </w:t>
                    </w:r>
                    <w:r>
                      <w:rPr>
                        <w:rFonts w:ascii="宋体" w:hAnsi="宋体" w:eastAsia="宋体"/>
                        <w:sz w:val="28"/>
                      </w:rPr>
                      <w:fldChar w:fldCharType="begin"/>
                    </w:r>
                    <w:r>
                      <w:rPr>
                        <w:rStyle w:val="11"/>
                        <w:rFonts w:ascii="宋体" w:hAnsi="宋体" w:eastAsia="宋体"/>
                        <w:sz w:val="28"/>
                      </w:rPr>
                      <w:instrText xml:space="preserve">PAGE  </w:instrText>
                    </w:r>
                    <w:r>
                      <w:rPr>
                        <w:rFonts w:ascii="宋体" w:hAnsi="宋体" w:eastAsia="宋体"/>
                        <w:sz w:val="28"/>
                      </w:rPr>
                      <w:fldChar w:fldCharType="separate"/>
                    </w:r>
                    <w:r>
                      <w:rPr>
                        <w:rStyle w:val="11"/>
                        <w:rFonts w:ascii="宋体" w:hAnsi="宋体" w:eastAsia="宋体"/>
                        <w:sz w:val="28"/>
                      </w:rPr>
                      <w:t>1</w:t>
                    </w:r>
                    <w:r>
                      <w:rPr>
                        <w:rFonts w:ascii="宋体" w:hAnsi="宋体" w:eastAsia="宋体"/>
                        <w:sz w:val="28"/>
                      </w:rPr>
                      <w:fldChar w:fldCharType="end"/>
                    </w:r>
                    <w:r>
                      <w:rPr>
                        <w:rStyle w:val="11"/>
                        <w:rFonts w:ascii="宋体" w:hAnsi="宋体" w:eastAsia="宋体"/>
                        <w:sz w:val="28"/>
                      </w:rPr>
                      <w:t xml:space="preserve"> —</w:t>
                    </w:r>
                  </w:p>
                  <w:p>
                    <w:pPr>
                      <w:rPr>
                        <w:rFonts w:hint="eastAsia"/>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BAF5B30"/>
    <w:rsid w:val="06A25D42"/>
    <w:rsid w:val="16247347"/>
    <w:rsid w:val="17642373"/>
    <w:rsid w:val="1CF1EA90"/>
    <w:rsid w:val="1DD7D5AB"/>
    <w:rsid w:val="262B5F95"/>
    <w:rsid w:val="26DF32CE"/>
    <w:rsid w:val="2BF553E8"/>
    <w:rsid w:val="2EE3F361"/>
    <w:rsid w:val="2FE7DD70"/>
    <w:rsid w:val="2FFAB589"/>
    <w:rsid w:val="2FFE7DCE"/>
    <w:rsid w:val="36BF8203"/>
    <w:rsid w:val="372EDE24"/>
    <w:rsid w:val="391E2927"/>
    <w:rsid w:val="3ABFDF6C"/>
    <w:rsid w:val="3BD7B422"/>
    <w:rsid w:val="3BF7A225"/>
    <w:rsid w:val="3C7DBDE8"/>
    <w:rsid w:val="3D3E88D5"/>
    <w:rsid w:val="3D6E37F6"/>
    <w:rsid w:val="3D893516"/>
    <w:rsid w:val="3DF9D2EF"/>
    <w:rsid w:val="3EAA450C"/>
    <w:rsid w:val="3EFFE84B"/>
    <w:rsid w:val="3F3FAEC2"/>
    <w:rsid w:val="3F593714"/>
    <w:rsid w:val="3FC74A53"/>
    <w:rsid w:val="3FF505EC"/>
    <w:rsid w:val="3FFBFABB"/>
    <w:rsid w:val="4E73B083"/>
    <w:rsid w:val="55FFE2F1"/>
    <w:rsid w:val="56AF6F58"/>
    <w:rsid w:val="56C6A0E3"/>
    <w:rsid w:val="57915372"/>
    <w:rsid w:val="57DD21AA"/>
    <w:rsid w:val="5ABD1038"/>
    <w:rsid w:val="5CCA7735"/>
    <w:rsid w:val="5DF9D8DC"/>
    <w:rsid w:val="5DFF5495"/>
    <w:rsid w:val="5EFF8467"/>
    <w:rsid w:val="5F907E6D"/>
    <w:rsid w:val="5FA9BFF3"/>
    <w:rsid w:val="5FEFE4C0"/>
    <w:rsid w:val="5FF731C9"/>
    <w:rsid w:val="5FFD2EB3"/>
    <w:rsid w:val="5FFD593F"/>
    <w:rsid w:val="61F760DF"/>
    <w:rsid w:val="63BF5C1A"/>
    <w:rsid w:val="65E1F63F"/>
    <w:rsid w:val="65E72D04"/>
    <w:rsid w:val="65FFF136"/>
    <w:rsid w:val="67EF9811"/>
    <w:rsid w:val="6A274C2D"/>
    <w:rsid w:val="6AFD23C5"/>
    <w:rsid w:val="6CFF184B"/>
    <w:rsid w:val="6D9F8B08"/>
    <w:rsid w:val="6DDEC23D"/>
    <w:rsid w:val="6E7EE967"/>
    <w:rsid w:val="6E9B2B77"/>
    <w:rsid w:val="6F576EB2"/>
    <w:rsid w:val="6FD705D5"/>
    <w:rsid w:val="6FFBA5C3"/>
    <w:rsid w:val="6FFEEA25"/>
    <w:rsid w:val="758F48E2"/>
    <w:rsid w:val="75BAD4E6"/>
    <w:rsid w:val="765F5E28"/>
    <w:rsid w:val="76FF3B92"/>
    <w:rsid w:val="779FE833"/>
    <w:rsid w:val="77DDD835"/>
    <w:rsid w:val="77FB503C"/>
    <w:rsid w:val="78FA2B6A"/>
    <w:rsid w:val="79F11DD9"/>
    <w:rsid w:val="7ADF854C"/>
    <w:rsid w:val="7AFC4991"/>
    <w:rsid w:val="7B7943CA"/>
    <w:rsid w:val="7B9DF756"/>
    <w:rsid w:val="7BEFD31D"/>
    <w:rsid w:val="7BFBE54A"/>
    <w:rsid w:val="7BFE07C9"/>
    <w:rsid w:val="7BFF9577"/>
    <w:rsid w:val="7C105077"/>
    <w:rsid w:val="7CF32379"/>
    <w:rsid w:val="7CFF94C0"/>
    <w:rsid w:val="7D2269A8"/>
    <w:rsid w:val="7E514E17"/>
    <w:rsid w:val="7EEF2B38"/>
    <w:rsid w:val="7EFE9C41"/>
    <w:rsid w:val="7F5F47DE"/>
    <w:rsid w:val="7F81616F"/>
    <w:rsid w:val="7FAB83D8"/>
    <w:rsid w:val="7FBBFDBD"/>
    <w:rsid w:val="7FBD9820"/>
    <w:rsid w:val="7FD74F32"/>
    <w:rsid w:val="7FEECF96"/>
    <w:rsid w:val="7FF9BD09"/>
    <w:rsid w:val="7FFB5977"/>
    <w:rsid w:val="7FFF7BE9"/>
    <w:rsid w:val="7FFFCC0C"/>
    <w:rsid w:val="85BC12BC"/>
    <w:rsid w:val="8BBFB550"/>
    <w:rsid w:val="92EF2C5C"/>
    <w:rsid w:val="9F0FD161"/>
    <w:rsid w:val="9F7F0F57"/>
    <w:rsid w:val="9FFFA670"/>
    <w:rsid w:val="A3FF9D92"/>
    <w:rsid w:val="ABBEBF3B"/>
    <w:rsid w:val="AEFFF13E"/>
    <w:rsid w:val="AF6716BF"/>
    <w:rsid w:val="AFF70939"/>
    <w:rsid w:val="B79F0CD7"/>
    <w:rsid w:val="BB7BB7F8"/>
    <w:rsid w:val="BD7BB442"/>
    <w:rsid w:val="BDFBB486"/>
    <w:rsid w:val="BF734284"/>
    <w:rsid w:val="BFDC49E3"/>
    <w:rsid w:val="BFFCE013"/>
    <w:rsid w:val="C79F474F"/>
    <w:rsid w:val="C7FEC317"/>
    <w:rsid w:val="CD7FE227"/>
    <w:rsid w:val="CFF6D8EB"/>
    <w:rsid w:val="CFF862D4"/>
    <w:rsid w:val="D29E4E23"/>
    <w:rsid w:val="D5D9067D"/>
    <w:rsid w:val="D5FF3133"/>
    <w:rsid w:val="D7F73D17"/>
    <w:rsid w:val="D7FB2710"/>
    <w:rsid w:val="D7FB8577"/>
    <w:rsid w:val="D7FC213E"/>
    <w:rsid w:val="D96A82E5"/>
    <w:rsid w:val="D9F3FA3B"/>
    <w:rsid w:val="DB9D8B35"/>
    <w:rsid w:val="DBAF5B30"/>
    <w:rsid w:val="DCBFCF1F"/>
    <w:rsid w:val="DD706B95"/>
    <w:rsid w:val="DDF73AC4"/>
    <w:rsid w:val="DE7DCF8B"/>
    <w:rsid w:val="DE7FDE3E"/>
    <w:rsid w:val="DF3F4D41"/>
    <w:rsid w:val="DF77EF8A"/>
    <w:rsid w:val="DFB74902"/>
    <w:rsid w:val="DFFF67CC"/>
    <w:rsid w:val="DFFF8B6D"/>
    <w:rsid w:val="E6FA9042"/>
    <w:rsid w:val="E767F0A1"/>
    <w:rsid w:val="E76DB7AB"/>
    <w:rsid w:val="E79EC198"/>
    <w:rsid w:val="E7ED737F"/>
    <w:rsid w:val="E7F7FA1F"/>
    <w:rsid w:val="E7FD9F12"/>
    <w:rsid w:val="EC7E107C"/>
    <w:rsid w:val="ED518912"/>
    <w:rsid w:val="ED7A6EBD"/>
    <w:rsid w:val="EDFF7B4D"/>
    <w:rsid w:val="EE7A0385"/>
    <w:rsid w:val="EEEFECB3"/>
    <w:rsid w:val="EF6FFBC0"/>
    <w:rsid w:val="EF7B7166"/>
    <w:rsid w:val="EF7D4F45"/>
    <w:rsid w:val="EF7E3781"/>
    <w:rsid w:val="EFCE2D30"/>
    <w:rsid w:val="EFF31B78"/>
    <w:rsid w:val="EFFC8D6B"/>
    <w:rsid w:val="F30B2303"/>
    <w:rsid w:val="F3CFACDD"/>
    <w:rsid w:val="F3CFFEDA"/>
    <w:rsid w:val="F3FD596C"/>
    <w:rsid w:val="F4CB466E"/>
    <w:rsid w:val="F55646D4"/>
    <w:rsid w:val="F5FF2C2A"/>
    <w:rsid w:val="F6CFB4F1"/>
    <w:rsid w:val="F70DA9AA"/>
    <w:rsid w:val="F7431095"/>
    <w:rsid w:val="F77E00B1"/>
    <w:rsid w:val="F7971CBE"/>
    <w:rsid w:val="F7AB2A93"/>
    <w:rsid w:val="F7E7F8D5"/>
    <w:rsid w:val="F7FDD800"/>
    <w:rsid w:val="F8671380"/>
    <w:rsid w:val="F93F4D77"/>
    <w:rsid w:val="F99F1EFB"/>
    <w:rsid w:val="F9BF30F2"/>
    <w:rsid w:val="F9ED0EE3"/>
    <w:rsid w:val="FABFDA68"/>
    <w:rsid w:val="FAFA2748"/>
    <w:rsid w:val="FB5FC467"/>
    <w:rsid w:val="FBCF72EC"/>
    <w:rsid w:val="FBEE375D"/>
    <w:rsid w:val="FBFE17FB"/>
    <w:rsid w:val="FCDC2E67"/>
    <w:rsid w:val="FCDFF31F"/>
    <w:rsid w:val="FCFF6626"/>
    <w:rsid w:val="FD93C321"/>
    <w:rsid w:val="FDAA6EDF"/>
    <w:rsid w:val="FDF7DA34"/>
    <w:rsid w:val="FDFEF9D6"/>
    <w:rsid w:val="FDFF2525"/>
    <w:rsid w:val="FE3FDBB2"/>
    <w:rsid w:val="FEBF6AA3"/>
    <w:rsid w:val="FEEF0E2B"/>
    <w:rsid w:val="FEF47B6D"/>
    <w:rsid w:val="FEFB2069"/>
    <w:rsid w:val="FEFF4C0A"/>
    <w:rsid w:val="FF1F4B34"/>
    <w:rsid w:val="FF2FD087"/>
    <w:rsid w:val="FF654E69"/>
    <w:rsid w:val="FF7BAC47"/>
    <w:rsid w:val="FFB3A20E"/>
    <w:rsid w:val="FFCF50A5"/>
    <w:rsid w:val="FFDBBCB3"/>
    <w:rsid w:val="FFE36B25"/>
    <w:rsid w:val="FFED40DA"/>
    <w:rsid w:val="FFF65E39"/>
    <w:rsid w:val="FFF78D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99"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0"/>
    <w:rPr>
      <w:rFonts w:ascii="仿宋" w:hAnsi="仿宋" w:eastAsia="仿宋" w:cs="仿宋"/>
      <w:sz w:val="30"/>
      <w:szCs w:val="30"/>
      <w:lang w:val="en-US" w:eastAsia="en-US" w:bidi="ar-SA"/>
    </w:rPr>
  </w:style>
  <w:style w:type="paragraph" w:styleId="3">
    <w:name w:val="index 8"/>
    <w:basedOn w:val="1"/>
    <w:next w:val="1"/>
    <w:semiHidden/>
    <w:qFormat/>
    <w:uiPriority w:val="99"/>
    <w:pPr>
      <w:widowControl w:val="0"/>
      <w:ind w:left="2940"/>
      <w:jc w:val="both"/>
    </w:pPr>
    <w:rPr>
      <w:rFonts w:ascii="Calibri" w:hAnsi="Calibri" w:eastAsia="宋体" w:cs="Times New Roman"/>
      <w:kern w:val="2"/>
      <w:sz w:val="21"/>
      <w:szCs w:val="2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paragraph" w:customStyle="1" w:styleId="12">
    <w:name w:val="UserStyle_0"/>
    <w:basedOn w:val="13"/>
    <w:qFormat/>
    <w:uiPriority w:val="0"/>
    <w:pPr>
      <w:spacing w:line="560" w:lineRule="atLeast"/>
      <w:ind w:firstLine="200" w:firstLineChars="200"/>
      <w:textAlignment w:val="baseline"/>
    </w:pPr>
    <w:rPr>
      <w:rFonts w:ascii="仿宋_GB2312" w:hAnsi="Courier New" w:eastAsia="仿宋_GB2312" w:cs="黑体"/>
      <w:sz w:val="32"/>
      <w:szCs w:val="21"/>
    </w:rPr>
  </w:style>
  <w:style w:type="paragraph" w:customStyle="1" w:styleId="13">
    <w:name w:val="BodyText"/>
    <w:basedOn w:val="1"/>
    <w:next w:val="14"/>
    <w:qFormat/>
    <w:uiPriority w:val="0"/>
    <w:pPr>
      <w:spacing w:after="120" w:afterLines="0"/>
      <w:jc w:val="both"/>
      <w:textAlignment w:val="baseline"/>
    </w:pPr>
  </w:style>
  <w:style w:type="paragraph" w:customStyle="1" w:styleId="14">
    <w:name w:val="BodyText1I"/>
    <w:basedOn w:val="13"/>
    <w:next w:val="1"/>
    <w:qFormat/>
    <w:uiPriority w:val="0"/>
    <w:pPr>
      <w:spacing w:after="120" w:afterLines="0"/>
      <w:ind w:firstLine="420" w:firstLineChars="100"/>
      <w:jc w:val="both"/>
      <w:textAlignment w:val="baseline"/>
    </w:pPr>
  </w:style>
  <w:style w:type="paragraph" w:customStyle="1" w:styleId="15">
    <w:name w:val="BodyText1I2"/>
    <w:basedOn w:val="16"/>
    <w:qFormat/>
    <w:uiPriority w:val="0"/>
    <w:pPr>
      <w:spacing w:before="100" w:beforeLines="0" w:beforeAutospacing="1" w:after="0" w:afterLines="0"/>
      <w:ind w:firstLine="200" w:firstLineChars="200"/>
    </w:pPr>
  </w:style>
  <w:style w:type="paragraph" w:customStyle="1" w:styleId="16">
    <w:name w:val="BodyTextIndent"/>
    <w:basedOn w:val="1"/>
    <w:qFormat/>
    <w:uiPriority w:val="0"/>
    <w:pPr>
      <w:spacing w:after="120" w:afterLines="0"/>
      <w:ind w:left="200" w:leftChars="200"/>
      <w:textAlignment w:val="baseline"/>
    </w:pPr>
  </w:style>
  <w:style w:type="paragraph" w:customStyle="1" w:styleId="17">
    <w:name w:val="WPSOffice手动目录 1"/>
    <w:qFormat/>
    <w:uiPriority w:val="0"/>
    <w:pPr>
      <w:ind w:leftChars="0"/>
    </w:pPr>
    <w:rPr>
      <w:rFonts w:ascii="Calibri" w:hAnsi="Calibri" w:eastAsia="宋体" w:cs="Times New Roman"/>
      <w:sz w:val="20"/>
      <w:szCs w:val="20"/>
    </w:rPr>
  </w:style>
  <w:style w:type="paragraph" w:customStyle="1" w:styleId="18">
    <w:name w:val="WPSOffice手动目录 2"/>
    <w:qFormat/>
    <w:uiPriority w:val="0"/>
    <w:pPr>
      <w:ind w:leftChars="200"/>
    </w:pPr>
    <w:rPr>
      <w:rFonts w:ascii="Calibri" w:hAnsi="Calibri" w:eastAsia="宋体"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12764</Words>
  <Characters>12852</Characters>
  <Lines>0</Lines>
  <Paragraphs>0</Paragraphs>
  <TotalTime>1</TotalTime>
  <ScaleCrop>false</ScaleCrop>
  <LinksUpToDate>false</LinksUpToDate>
  <CharactersWithSpaces>12980</CharactersWithSpaces>
  <Application>WPS Office_11.8.2.11764_F1E327BC-269C-435d-A152-05C5408002CA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2025-12-18T01:15:00Z</dcterms:created>
  <dc:creator>三明市自然资源局</dc:creator>
  <cp:lastModifiedBy>user</cp:lastModifiedBy>
  <cp:lastPrinted>2026-08-05T23:50:00Z</cp:lastPrinted>
  <dcterms:modified xsi:type="dcterms:W3CDTF">2026-08-27T11:26:42Z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2052-11.8.2.11764</vt:lpwstr>
  </property>
  <property fmtid="{D5CDD505-2E9C-101B-9397-08002B2CF9AE}" pid="3" name="ICV">
    <vt:lpwstr>C4665A4530A39E792DFC726A67803311</vt:lpwstr>
  </property>
  <property fmtid="{D5CDD505-2E9C-101B-9397-08002B2CF9AE}" pid="4" name="KSOTemplateDocerSaveRecord">
    <vt:lpwstr>eyJoZGlkIjoiZmU5YzYxNDcwMDZhYjExZjJiYzY0NGRiY2ExY2I1OTMiLCJ1c2VySWQiOiIyODQ5OTI5NzEifQ==</vt:lpwstr>
  </property>
</Properties>
</file>