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40" w:lineRule="exact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left="2400" w:hanging="2400" w:hangingChars="600"/>
        <w:jc w:val="center"/>
        <w:rPr>
          <w:rFonts w:hint="eastAsia" w:ascii="方正小标宋_GBK" w:hAnsi="仿宋_GB2312" w:eastAsia="方正小标宋_GBK" w:cs="仿宋_GB2312"/>
          <w:color w:val="000000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color w:val="000000"/>
          <w:sz w:val="40"/>
          <w:szCs w:val="40"/>
        </w:rPr>
        <w:t>三明市自然资源局实行证明事项告知承诺制事项目录清单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left="1920" w:hanging="1920" w:hangingChars="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15026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1701"/>
        <w:gridCol w:w="2126"/>
        <w:gridCol w:w="2410"/>
        <w:gridCol w:w="3119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责任部门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行政事项名称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子项名称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实行告知承诺制的证明事项名称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设定依据类别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市级自然资源局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采矿权审批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新设采矿权登记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地质资料汇交证明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《矿产资源开采登记管理办法》第三条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法规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市级自然资源局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采矿权审批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开采矿产资源划定矿区范围批准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地质资料汇交证明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《矿产资源开采登记管理办法》第四条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法规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市级自然资源局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采矿权审批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采矿权变更登记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地质资料汇交证明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《矿产资源开采登记管理办法》第十五条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法规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市级自然资源局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采矿权审批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采矿权延续登记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地质资料汇交证明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《矿产资源开采登记管理办法》第七条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法规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市级自然资源局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不动产登记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首次登记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小微企业的证明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发改价格规〔2016〕2559号第一条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市级自然资源局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建立相对独立的平面坐标系统的审核转报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建立相对独立的平面坐标系统的审核转报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能够反映建设单位测绘成果及资料档案管理设施和制度的证明文件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《中华人民共和国测绘法》第十一条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法律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  <w:sectPr>
          <w:pgSz w:w="16838" w:h="11906" w:orient="landscape"/>
          <w:pgMar w:top="1588" w:right="1701" w:bottom="1474" w:left="1701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500B3"/>
    <w:rsid w:val="58F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2022-04-01T09:10:00Z</dcterms:created>
  <dc:creator>刘腾讯</dc:creator>
  <cp:lastModifiedBy>刘腾讯</cp:lastModifiedBy>
  <dcterms:modified xsi:type="dcterms:W3CDTF">2022-04-01T09:10:32Z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1341643DAB13414A9102E483D7CDB1C5</vt:lpwstr>
  </property>
</Properties>
</file>