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ascii="微软雅黑" w:hAnsi="微软雅黑" w:eastAsia="微软雅黑"/>
          <w:b/>
          <w:color w:val="000000" w:themeColor="text1"/>
          <w:sz w:val="44"/>
          <w:szCs w:val="44"/>
        </w:rPr>
      </w:pPr>
    </w:p>
    <w:p>
      <w:pPr>
        <w:ind w:firstLine="880" w:firstLineChars="200"/>
        <w:jc w:val="center"/>
        <w:rPr>
          <w:rFonts w:ascii="微软雅黑" w:hAnsi="微软雅黑" w:eastAsia="微软雅黑"/>
          <w:b/>
          <w:color w:val="000000" w:themeColor="text1"/>
          <w:sz w:val="44"/>
          <w:szCs w:val="44"/>
        </w:rPr>
      </w:pPr>
    </w:p>
    <w:p>
      <w:pPr>
        <w:ind w:firstLine="880" w:firstLineChars="200"/>
        <w:jc w:val="center"/>
        <w:rPr>
          <w:rFonts w:ascii="微软雅黑" w:hAnsi="微软雅黑" w:eastAsia="微软雅黑"/>
          <w:b/>
          <w:color w:val="000000" w:themeColor="text1"/>
          <w:sz w:val="44"/>
          <w:szCs w:val="44"/>
        </w:rPr>
      </w:pPr>
    </w:p>
    <w:p>
      <w:pPr>
        <w:ind w:firstLine="880" w:firstLineChars="200"/>
        <w:jc w:val="center"/>
        <w:rPr>
          <w:rFonts w:ascii="微软雅黑" w:hAnsi="微软雅黑" w:eastAsia="微软雅黑"/>
          <w:b/>
          <w:color w:val="000000" w:themeColor="text1"/>
          <w:sz w:val="44"/>
          <w:szCs w:val="44"/>
        </w:rPr>
      </w:pPr>
    </w:p>
    <w:p>
      <w:pPr>
        <w:widowControl/>
        <w:spacing w:line="800" w:lineRule="exact"/>
        <w:jc w:val="center"/>
        <w:rPr>
          <w:rFonts w:ascii="仿宋" w:hAnsi="仿宋" w:eastAsia="仿宋" w:cs="Times New Roman"/>
          <w:b/>
          <w:bCs/>
          <w:color w:val="000000" w:themeColor="text1"/>
          <w:kern w:val="0"/>
          <w:sz w:val="44"/>
          <w:szCs w:val="44"/>
        </w:rPr>
      </w:pPr>
      <w:r>
        <w:rPr>
          <w:rFonts w:hint="eastAsia" w:ascii="仿宋" w:hAnsi="仿宋" w:eastAsia="仿宋" w:cs="Times New Roman"/>
          <w:b/>
          <w:bCs/>
          <w:color w:val="000000" w:themeColor="text1"/>
          <w:kern w:val="0"/>
          <w:sz w:val="44"/>
          <w:szCs w:val="44"/>
        </w:rPr>
        <w:t>三明市梅列区2021年度第一批次土地征收</w:t>
      </w:r>
    </w:p>
    <w:p>
      <w:pPr>
        <w:widowControl/>
        <w:spacing w:line="800" w:lineRule="exact"/>
        <w:jc w:val="center"/>
        <w:rPr>
          <w:rFonts w:ascii="仿宋" w:hAnsi="仿宋" w:eastAsia="仿宋" w:cs="Times New Roman"/>
          <w:b/>
          <w:bCs/>
          <w:color w:val="000000" w:themeColor="text1"/>
          <w:kern w:val="0"/>
          <w:sz w:val="44"/>
          <w:szCs w:val="44"/>
        </w:rPr>
      </w:pPr>
      <w:r>
        <w:rPr>
          <w:rFonts w:hint="eastAsia" w:ascii="仿宋" w:hAnsi="仿宋" w:eastAsia="仿宋" w:cs="Times New Roman"/>
          <w:b/>
          <w:bCs/>
          <w:color w:val="000000" w:themeColor="text1"/>
          <w:kern w:val="0"/>
          <w:sz w:val="44"/>
          <w:szCs w:val="44"/>
        </w:rPr>
        <w:t>成片开发方案</w:t>
      </w:r>
    </w:p>
    <w:p>
      <w:pPr>
        <w:widowControl/>
        <w:spacing w:line="800" w:lineRule="exact"/>
        <w:jc w:val="center"/>
        <w:rPr>
          <w:rFonts w:ascii="仿宋" w:hAnsi="仿宋" w:eastAsia="仿宋" w:cs="Times New Roman"/>
          <w:b/>
          <w:bCs/>
          <w:color w:val="000000" w:themeColor="text1"/>
          <w:kern w:val="0"/>
          <w:sz w:val="36"/>
          <w:szCs w:val="36"/>
        </w:rPr>
      </w:pPr>
      <w:r>
        <w:rPr>
          <w:rFonts w:hint="eastAsia" w:ascii="仿宋" w:hAnsi="仿宋" w:eastAsia="仿宋" w:cs="Times New Roman"/>
          <w:b/>
          <w:bCs/>
          <w:color w:val="000000" w:themeColor="text1"/>
          <w:kern w:val="0"/>
          <w:sz w:val="36"/>
          <w:szCs w:val="36"/>
        </w:rPr>
        <w:t>（梅列经济开发区泉三高端装备产业园）</w:t>
      </w:r>
    </w:p>
    <w:p>
      <w:pPr>
        <w:ind w:firstLine="880" w:firstLineChars="200"/>
        <w:jc w:val="center"/>
        <w:rPr>
          <w:rFonts w:ascii="微软雅黑" w:hAnsi="微软雅黑" w:eastAsia="微软雅黑"/>
          <w:b/>
          <w:color w:val="000000" w:themeColor="text1"/>
          <w:sz w:val="44"/>
          <w:szCs w:val="44"/>
        </w:rPr>
      </w:pPr>
    </w:p>
    <w:p>
      <w:pPr>
        <w:ind w:firstLine="880" w:firstLineChars="200"/>
        <w:jc w:val="center"/>
        <w:rPr>
          <w:rFonts w:ascii="微软雅黑" w:hAnsi="微软雅黑" w:eastAsia="微软雅黑"/>
          <w:b/>
          <w:color w:val="000000" w:themeColor="text1"/>
          <w:sz w:val="44"/>
          <w:szCs w:val="44"/>
        </w:rPr>
      </w:pPr>
    </w:p>
    <w:p>
      <w:pPr>
        <w:ind w:firstLine="880" w:firstLineChars="200"/>
        <w:jc w:val="center"/>
        <w:rPr>
          <w:rFonts w:ascii="微软雅黑" w:hAnsi="微软雅黑" w:eastAsia="微软雅黑"/>
          <w:b/>
          <w:color w:val="000000" w:themeColor="text1"/>
          <w:sz w:val="44"/>
          <w:szCs w:val="44"/>
        </w:rPr>
      </w:pPr>
    </w:p>
    <w:p>
      <w:pPr>
        <w:tabs>
          <w:tab w:val="left" w:pos="4980"/>
        </w:tabs>
        <w:ind w:firstLine="880" w:firstLineChars="200"/>
        <w:jc w:val="left"/>
        <w:rPr>
          <w:rFonts w:ascii="微软雅黑" w:hAnsi="微软雅黑" w:eastAsia="微软雅黑"/>
          <w:b/>
          <w:color w:val="000000" w:themeColor="text1"/>
          <w:sz w:val="44"/>
          <w:szCs w:val="44"/>
        </w:rPr>
      </w:pPr>
      <w:r>
        <w:rPr>
          <w:rFonts w:ascii="微软雅黑" w:hAnsi="微软雅黑" w:eastAsia="微软雅黑"/>
          <w:b/>
          <w:color w:val="000000" w:themeColor="text1"/>
          <w:sz w:val="44"/>
          <w:szCs w:val="44"/>
        </w:rPr>
        <w:tab/>
      </w:r>
    </w:p>
    <w:p>
      <w:pPr>
        <w:ind w:firstLine="880" w:firstLineChars="200"/>
        <w:jc w:val="center"/>
        <w:rPr>
          <w:rFonts w:ascii="微软雅黑" w:hAnsi="微软雅黑" w:eastAsia="微软雅黑"/>
          <w:b/>
          <w:color w:val="000000" w:themeColor="text1"/>
          <w:sz w:val="44"/>
          <w:szCs w:val="44"/>
        </w:rPr>
      </w:pPr>
    </w:p>
    <w:p>
      <w:pPr>
        <w:jc w:val="center"/>
        <w:rPr>
          <w:rFonts w:ascii="微软雅黑" w:hAnsi="微软雅黑" w:eastAsia="微软雅黑"/>
          <w:b/>
          <w:color w:val="000000" w:themeColor="text1"/>
          <w:sz w:val="44"/>
          <w:szCs w:val="44"/>
        </w:rPr>
      </w:pPr>
    </w:p>
    <w:p>
      <w:pPr>
        <w:widowControl/>
        <w:jc w:val="center"/>
        <w:rPr>
          <w:rFonts w:ascii="Times New Roman" w:hAnsi="Times New Roman" w:eastAsia="仿宋" w:cs="Times New Roman"/>
          <w:color w:val="000000" w:themeColor="text1"/>
          <w:kern w:val="0"/>
          <w:sz w:val="31"/>
          <w:szCs w:val="31"/>
        </w:rPr>
      </w:pPr>
      <w:r>
        <w:rPr>
          <w:rFonts w:hint="eastAsia" w:ascii="Times New Roman" w:hAnsi="Times New Roman" w:eastAsia="仿宋" w:cs="Times New Roman"/>
          <w:color w:val="000000" w:themeColor="text1"/>
          <w:kern w:val="0"/>
          <w:sz w:val="31"/>
          <w:szCs w:val="31"/>
        </w:rPr>
        <w:t>三明市人民政府</w:t>
      </w:r>
    </w:p>
    <w:p>
      <w:pPr>
        <w:widowControl/>
        <w:jc w:val="center"/>
        <w:rPr>
          <w:b/>
          <w:color w:val="000000" w:themeColor="text1"/>
          <w:sz w:val="44"/>
          <w:szCs w:val="44"/>
        </w:rPr>
        <w:sectPr>
          <w:headerReference r:id="rId3" w:type="default"/>
          <w:footerReference r:id="rId5" w:type="default"/>
          <w:headerReference r:id="rId4" w:type="even"/>
          <w:type w:val="nextColumn"/>
          <w:pgSz w:w="11906" w:h="16838"/>
          <w:pgMar w:top="1440" w:right="1418" w:bottom="1440" w:left="1701" w:header="851" w:footer="992" w:gutter="0"/>
          <w:pgNumType w:start="0"/>
          <w:cols w:space="425" w:num="1"/>
          <w:titlePg/>
          <w:docGrid w:type="lines" w:linePitch="312" w:charSpace="0"/>
        </w:sectPr>
      </w:pPr>
      <w:r>
        <w:rPr>
          <w:rFonts w:hint="eastAsia" w:ascii="Times New Roman" w:hAnsi="Times New Roman" w:eastAsia="仿宋" w:cs="Times New Roman"/>
          <w:color w:val="000000" w:themeColor="text1"/>
          <w:kern w:val="0"/>
          <w:sz w:val="31"/>
          <w:szCs w:val="31"/>
        </w:rPr>
        <w:t>2021年0</w:t>
      </w:r>
      <w:r>
        <w:rPr>
          <w:rFonts w:ascii="Times New Roman" w:hAnsi="Times New Roman" w:eastAsia="仿宋" w:cs="Times New Roman"/>
          <w:color w:val="000000" w:themeColor="text1"/>
          <w:kern w:val="0"/>
          <w:sz w:val="31"/>
          <w:szCs w:val="31"/>
        </w:rPr>
        <w:t>4</w:t>
      </w:r>
      <w:r>
        <w:rPr>
          <w:rFonts w:hint="eastAsia" w:ascii="Times New Roman" w:hAnsi="Times New Roman" w:eastAsia="仿宋" w:cs="Times New Roman"/>
          <w:color w:val="000000" w:themeColor="text1"/>
          <w:kern w:val="0"/>
          <w:sz w:val="31"/>
          <w:szCs w:val="31"/>
        </w:rPr>
        <w:t>月</w:t>
      </w:r>
    </w:p>
    <w:p>
      <w:pPr>
        <w:pStyle w:val="12"/>
        <w:spacing w:line="360" w:lineRule="auto"/>
        <w:rPr>
          <w:b/>
          <w:color w:val="000000" w:themeColor="text1"/>
          <w:sz w:val="48"/>
          <w:szCs w:val="48"/>
          <w:lang w:val="zh-CN"/>
        </w:rPr>
      </w:pPr>
      <w:r>
        <w:rPr>
          <w:rFonts w:hint="eastAsia"/>
          <w:b/>
          <w:color w:val="000000" w:themeColor="text1"/>
          <w:sz w:val="48"/>
          <w:szCs w:val="48"/>
          <w:lang w:val="zh-CN"/>
        </w:rPr>
        <w:t>目录</w:t>
      </w:r>
    </w:p>
    <w:sdt>
      <w:sdtPr>
        <w:rPr>
          <w:rFonts w:asciiTheme="minorHAnsi" w:hAnsiTheme="minorHAnsi" w:eastAsiaTheme="minorEastAsia" w:cstheme="minorBidi"/>
          <w:color w:val="000000" w:themeColor="text1"/>
          <w:kern w:val="2"/>
          <w:sz w:val="21"/>
          <w:szCs w:val="22"/>
          <w:lang w:val="zh-CN"/>
        </w:rPr>
        <w:id w:val="1511333397"/>
        <w:docPartObj>
          <w:docPartGallery w:val="Table of Contents"/>
          <w:docPartUnique/>
        </w:docPartObj>
      </w:sdtPr>
      <w:sdtEndPr>
        <w:rPr>
          <w:rFonts w:hint="eastAsia" w:ascii="仿宋" w:hAnsi="仿宋" w:eastAsia="仿宋" w:cs="仿宋"/>
          <w:color w:val="000000" w:themeColor="text1"/>
          <w:kern w:val="2"/>
          <w:sz w:val="28"/>
          <w:szCs w:val="28"/>
          <w:lang w:val="en-US"/>
        </w:rPr>
      </w:sdtEndPr>
      <w:sdtContent>
        <w:p>
          <w:pPr>
            <w:pStyle w:val="38"/>
            <w:rPr>
              <w:color w:val="000000" w:themeColor="text1"/>
            </w:rPr>
          </w:pPr>
        </w:p>
        <w:p>
          <w:pPr>
            <w:pStyle w:val="12"/>
            <w:tabs>
              <w:tab w:val="right" w:leader="dot" w:pos="8787"/>
              <w:tab w:val="clear" w:pos="8777"/>
            </w:tabs>
            <w:rPr>
              <w:rFonts w:ascii="仿宋" w:hAnsi="仿宋" w:eastAsia="仿宋" w:cs="仿宋"/>
              <w:color w:val="000000" w:themeColor="text1"/>
            </w:rPr>
          </w:pP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TOC \o "1-2" \h \u </w:instrText>
          </w:r>
          <w:r>
            <w:rPr>
              <w:rFonts w:hint="eastAsia" w:ascii="仿宋" w:hAnsi="仿宋" w:eastAsia="仿宋" w:cs="仿宋"/>
              <w:color w:val="000000" w:themeColor="text1"/>
            </w:rPr>
            <w:fldChar w:fldCharType="separate"/>
          </w:r>
          <w:r>
            <w:rPr>
              <w:color w:val="000000" w:themeColor="text1"/>
            </w:rPr>
            <w:fldChar w:fldCharType="begin"/>
          </w:r>
          <w:r>
            <w:rPr>
              <w:color w:val="000000" w:themeColor="text1"/>
            </w:rPr>
            <w:instrText xml:space="preserve"> HYPERLINK \l "_Toc1282" </w:instrText>
          </w:r>
          <w:r>
            <w:rPr>
              <w:color w:val="000000" w:themeColor="text1"/>
            </w:rPr>
            <w:fldChar w:fldCharType="separate"/>
          </w:r>
          <w:r>
            <w:rPr>
              <w:rFonts w:hint="eastAsia" w:ascii="仿宋" w:hAnsi="仿宋" w:eastAsia="仿宋" w:cs="仿宋"/>
              <w:color w:val="000000" w:themeColor="text1"/>
            </w:rPr>
            <w:t>一、概述</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_Toc1282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3</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"_Toc9255" </w:instrText>
          </w:r>
          <w:r>
            <w:rPr>
              <w:color w:val="000000" w:themeColor="text1"/>
            </w:rPr>
            <w:fldChar w:fldCharType="separate"/>
          </w:r>
          <w:r>
            <w:rPr>
              <w:rFonts w:hint="eastAsia" w:ascii="仿宋" w:hAnsi="仿宋" w:eastAsia="仿宋" w:cs="仿宋"/>
              <w:color w:val="000000" w:themeColor="text1"/>
              <w:sz w:val="28"/>
            </w:rPr>
            <w:t>（一）编制背景</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_Toc9255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3</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"_Toc19936" </w:instrText>
          </w:r>
          <w:r>
            <w:rPr>
              <w:color w:val="000000" w:themeColor="text1"/>
            </w:rPr>
            <w:fldChar w:fldCharType="separate"/>
          </w:r>
          <w:r>
            <w:rPr>
              <w:rFonts w:hint="eastAsia" w:ascii="仿宋" w:hAnsi="仿宋" w:eastAsia="仿宋" w:cs="仿宋"/>
              <w:color w:val="000000" w:themeColor="text1"/>
              <w:sz w:val="28"/>
            </w:rPr>
            <w:t>（二）编制原则</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_Toc19936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5</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"_Toc4650" </w:instrText>
          </w:r>
          <w:r>
            <w:rPr>
              <w:color w:val="000000" w:themeColor="text1"/>
            </w:rPr>
            <w:fldChar w:fldCharType="separate"/>
          </w:r>
          <w:r>
            <w:rPr>
              <w:rFonts w:hint="eastAsia" w:ascii="仿宋" w:hAnsi="仿宋" w:eastAsia="仿宋" w:cs="仿宋"/>
              <w:color w:val="000000" w:themeColor="text1"/>
              <w:sz w:val="28"/>
            </w:rPr>
            <w:t>（三）编制依据</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_Toc4650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6</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"_Toc15388" </w:instrText>
          </w:r>
          <w:r>
            <w:rPr>
              <w:color w:val="000000" w:themeColor="text1"/>
            </w:rPr>
            <w:fldChar w:fldCharType="separate"/>
          </w:r>
          <w:r>
            <w:rPr>
              <w:rFonts w:hint="eastAsia" w:ascii="仿宋" w:hAnsi="仿宋" w:eastAsia="仿宋" w:cs="仿宋"/>
              <w:color w:val="000000" w:themeColor="text1"/>
            </w:rPr>
            <w:t>二、编制条件</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_Toc15388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8</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"_Toc26692" </w:instrText>
          </w:r>
          <w:r>
            <w:rPr>
              <w:color w:val="000000" w:themeColor="text1"/>
            </w:rPr>
            <w:fldChar w:fldCharType="separate"/>
          </w:r>
          <w:r>
            <w:rPr>
              <w:rFonts w:hint="eastAsia" w:ascii="仿宋" w:hAnsi="仿宋" w:eastAsia="仿宋" w:cs="仿宋"/>
              <w:color w:val="000000" w:themeColor="text1"/>
              <w:sz w:val="28"/>
            </w:rPr>
            <w:t>（一）批而未供土地和闲置土地情况</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_Toc26692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8</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"_Toc31363" </w:instrText>
          </w:r>
          <w:r>
            <w:rPr>
              <w:color w:val="000000" w:themeColor="text1"/>
            </w:rPr>
            <w:fldChar w:fldCharType="separate"/>
          </w:r>
          <w:r>
            <w:rPr>
              <w:rFonts w:hint="eastAsia" w:ascii="仿宋" w:hAnsi="仿宋" w:eastAsia="仿宋" w:cs="仿宋"/>
              <w:color w:val="000000" w:themeColor="text1"/>
              <w:sz w:val="28"/>
            </w:rPr>
            <w:t>（二）开发区土地利用效率情况</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_Toc31363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8</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"_Toc400" </w:instrText>
          </w:r>
          <w:r>
            <w:rPr>
              <w:color w:val="000000" w:themeColor="text1"/>
            </w:rPr>
            <w:fldChar w:fldCharType="separate"/>
          </w:r>
          <w:r>
            <w:rPr>
              <w:rFonts w:hint="eastAsia" w:ascii="仿宋" w:hAnsi="仿宋" w:eastAsia="仿宋" w:cs="仿宋"/>
              <w:color w:val="000000" w:themeColor="text1"/>
              <w:sz w:val="28"/>
            </w:rPr>
            <w:t>（三）已批准土地征收成片开发方案实施情况</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_Toc400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8</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"_Toc27965" </w:instrText>
          </w:r>
          <w:r>
            <w:rPr>
              <w:color w:val="000000" w:themeColor="text1"/>
            </w:rPr>
            <w:fldChar w:fldCharType="separate"/>
          </w:r>
          <w:r>
            <w:rPr>
              <w:rFonts w:hint="eastAsia" w:ascii="仿宋" w:hAnsi="仿宋" w:eastAsia="仿宋" w:cs="仿宋"/>
              <w:color w:val="000000" w:themeColor="text1"/>
            </w:rPr>
            <w:t>三、基本情况</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_Toc27965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9</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"_Toc14630" </w:instrText>
          </w:r>
          <w:r>
            <w:rPr>
              <w:color w:val="000000" w:themeColor="text1"/>
            </w:rPr>
            <w:fldChar w:fldCharType="separate"/>
          </w:r>
          <w:r>
            <w:rPr>
              <w:rFonts w:hint="eastAsia" w:ascii="仿宋" w:hAnsi="仿宋" w:eastAsia="仿宋" w:cs="仿宋"/>
              <w:color w:val="000000" w:themeColor="text1"/>
              <w:sz w:val="28"/>
            </w:rPr>
            <w:t>（一）成片开发位置、范围、面积</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_Toc14630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9</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"_Toc13390" </w:instrText>
          </w:r>
          <w:r>
            <w:rPr>
              <w:color w:val="000000" w:themeColor="text1"/>
            </w:rPr>
            <w:fldChar w:fldCharType="separate"/>
          </w:r>
          <w:r>
            <w:rPr>
              <w:rFonts w:hint="eastAsia" w:ascii="仿宋" w:hAnsi="仿宋" w:eastAsia="仿宋" w:cs="仿宋"/>
              <w:color w:val="000000" w:themeColor="text1"/>
              <w:sz w:val="28"/>
            </w:rPr>
            <w:t>（二）现状基础设施条件</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_Toc13390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9</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"_Toc17184" </w:instrText>
          </w:r>
          <w:r>
            <w:rPr>
              <w:color w:val="000000" w:themeColor="text1"/>
            </w:rPr>
            <w:fldChar w:fldCharType="separate"/>
          </w:r>
          <w:r>
            <w:rPr>
              <w:rFonts w:hint="eastAsia" w:ascii="仿宋" w:hAnsi="仿宋" w:eastAsia="仿宋" w:cs="仿宋"/>
              <w:color w:val="000000" w:themeColor="text1"/>
              <w:sz w:val="28"/>
            </w:rPr>
            <w:t>（三）实施周期</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_Toc17184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11</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"_Toc32512" </w:instrText>
          </w:r>
          <w:r>
            <w:rPr>
              <w:color w:val="000000" w:themeColor="text1"/>
            </w:rPr>
            <w:fldChar w:fldCharType="separate"/>
          </w:r>
          <w:r>
            <w:rPr>
              <w:rFonts w:hint="eastAsia" w:ascii="仿宋" w:hAnsi="仿宋" w:eastAsia="仿宋" w:cs="仿宋"/>
              <w:color w:val="000000" w:themeColor="text1"/>
            </w:rPr>
            <w:t>四、必要性分析</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_Toc32512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11</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"_Toc5836" </w:instrText>
          </w:r>
          <w:r>
            <w:rPr>
              <w:color w:val="000000" w:themeColor="text1"/>
            </w:rPr>
            <w:fldChar w:fldCharType="separate"/>
          </w:r>
          <w:r>
            <w:rPr>
              <w:rFonts w:hint="eastAsia" w:ascii="仿宋" w:hAnsi="仿宋" w:eastAsia="仿宋" w:cs="仿宋"/>
              <w:color w:val="000000" w:themeColor="text1"/>
              <w:sz w:val="28"/>
            </w:rPr>
            <w:t>（一）是落实党中央支持革命老区发展政策，践行“三明实践”的需要</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_Toc5836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11</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"_Toc8145" </w:instrText>
          </w:r>
          <w:r>
            <w:rPr>
              <w:color w:val="000000" w:themeColor="text1"/>
            </w:rPr>
            <w:fldChar w:fldCharType="separate"/>
          </w:r>
          <w:r>
            <w:rPr>
              <w:rFonts w:hint="eastAsia" w:ascii="仿宋" w:hAnsi="仿宋" w:eastAsia="仿宋" w:cs="仿宋"/>
              <w:color w:val="000000" w:themeColor="text1"/>
              <w:sz w:val="28"/>
            </w:rPr>
            <w:t>（二）是突出片区内发展高端装备制造产业优势的需要</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_Toc8145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12</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"_Toc15223" </w:instrText>
          </w:r>
          <w:r>
            <w:rPr>
              <w:color w:val="000000" w:themeColor="text1"/>
            </w:rPr>
            <w:fldChar w:fldCharType="separate"/>
          </w:r>
          <w:r>
            <w:rPr>
              <w:rFonts w:hint="eastAsia" w:ascii="仿宋" w:hAnsi="仿宋" w:eastAsia="仿宋" w:cs="仿宋"/>
              <w:color w:val="000000" w:themeColor="text1"/>
              <w:sz w:val="28"/>
            </w:rPr>
            <w:t>（三）是保障重点项目落地，推动产业发展的需要</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_Toc15223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14</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"_Toc3223" </w:instrText>
          </w:r>
          <w:r>
            <w:rPr>
              <w:color w:val="000000" w:themeColor="text1"/>
            </w:rPr>
            <w:fldChar w:fldCharType="separate"/>
          </w:r>
          <w:r>
            <w:rPr>
              <w:rFonts w:hint="eastAsia" w:ascii="仿宋" w:hAnsi="仿宋" w:eastAsia="仿宋" w:cs="仿宋"/>
              <w:color w:val="000000" w:themeColor="text1"/>
              <w:sz w:val="28"/>
            </w:rPr>
            <w:t>（四）是产业集聚发展的需要</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_Toc3223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15</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"_Toc5229" </w:instrText>
          </w:r>
          <w:r>
            <w:rPr>
              <w:color w:val="000000" w:themeColor="text1"/>
            </w:rPr>
            <w:fldChar w:fldCharType="separate"/>
          </w:r>
          <w:r>
            <w:rPr>
              <w:rFonts w:hint="eastAsia" w:ascii="仿宋" w:hAnsi="仿宋" w:eastAsia="仿宋" w:cs="仿宋"/>
              <w:color w:val="000000" w:themeColor="text1"/>
              <w:sz w:val="28"/>
            </w:rPr>
            <w:t>（五）是满足城市发展，完善市政等公共服务设施，进而提高人民生活水平、改善人居环境、促进规划实现和经济社会发展的需要</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_Toc5229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15</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"_Toc5367" </w:instrText>
          </w:r>
          <w:r>
            <w:rPr>
              <w:color w:val="000000" w:themeColor="text1"/>
            </w:rPr>
            <w:fldChar w:fldCharType="separate"/>
          </w:r>
          <w:r>
            <w:rPr>
              <w:rFonts w:hint="eastAsia" w:ascii="仿宋" w:hAnsi="仿宋" w:eastAsia="仿宋" w:cs="仿宋"/>
              <w:color w:val="000000" w:themeColor="text1"/>
            </w:rPr>
            <w:t>五、主要用途、实现功能及公益性用地比例</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_Toc5367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16</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"_Toc28199" </w:instrText>
          </w:r>
          <w:r>
            <w:rPr>
              <w:color w:val="000000" w:themeColor="text1"/>
            </w:rPr>
            <w:fldChar w:fldCharType="separate"/>
          </w:r>
          <w:r>
            <w:rPr>
              <w:rFonts w:hint="eastAsia" w:ascii="仿宋" w:hAnsi="仿宋" w:eastAsia="仿宋" w:cs="仿宋"/>
              <w:color w:val="000000" w:themeColor="text1"/>
            </w:rPr>
            <w:t>六、拟建项目及实施计划</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_Toc28199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16</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"_Toc10594" </w:instrText>
          </w:r>
          <w:r>
            <w:rPr>
              <w:color w:val="000000" w:themeColor="text1"/>
            </w:rPr>
            <w:fldChar w:fldCharType="separate"/>
          </w:r>
          <w:r>
            <w:rPr>
              <w:rFonts w:hint="eastAsia" w:ascii="仿宋" w:hAnsi="仿宋" w:eastAsia="仿宋" w:cs="仿宋"/>
              <w:color w:val="000000" w:themeColor="text1"/>
            </w:rPr>
            <w:t>七、合规性分析</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_Toc10594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17</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"_Toc23997" </w:instrText>
          </w:r>
          <w:r>
            <w:rPr>
              <w:color w:val="000000" w:themeColor="text1"/>
            </w:rPr>
            <w:fldChar w:fldCharType="separate"/>
          </w:r>
          <w:r>
            <w:rPr>
              <w:rFonts w:hint="eastAsia" w:ascii="仿宋" w:hAnsi="仿宋" w:eastAsia="仿宋" w:cs="仿宋"/>
              <w:color w:val="000000" w:themeColor="text1"/>
              <w:sz w:val="28"/>
            </w:rPr>
            <w:t>（一）国土空间规划</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_Toc23997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17</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"_Toc7992" </w:instrText>
          </w:r>
          <w:r>
            <w:rPr>
              <w:color w:val="000000" w:themeColor="text1"/>
            </w:rPr>
            <w:fldChar w:fldCharType="separate"/>
          </w:r>
          <w:r>
            <w:rPr>
              <w:rFonts w:hint="eastAsia" w:ascii="仿宋" w:hAnsi="仿宋" w:eastAsia="仿宋" w:cs="仿宋"/>
              <w:color w:val="000000" w:themeColor="text1"/>
              <w:sz w:val="28"/>
            </w:rPr>
            <w:t>（二）国民经济和社会发展规划、年度计划</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_Toc7992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17</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"_Toc19733" </w:instrText>
          </w:r>
          <w:r>
            <w:rPr>
              <w:color w:val="000000" w:themeColor="text1"/>
            </w:rPr>
            <w:fldChar w:fldCharType="separate"/>
          </w:r>
          <w:r>
            <w:rPr>
              <w:rFonts w:hint="eastAsia" w:ascii="仿宋" w:hAnsi="仿宋" w:eastAsia="仿宋" w:cs="仿宋"/>
              <w:color w:val="000000" w:themeColor="text1"/>
              <w:sz w:val="28"/>
            </w:rPr>
            <w:t>（三）占用永久基本农田和其他法律法规规定不允许占用或开发的区域</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_Toc19733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18</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"_Toc704" </w:instrText>
          </w:r>
          <w:r>
            <w:rPr>
              <w:color w:val="000000" w:themeColor="text1"/>
            </w:rPr>
            <w:fldChar w:fldCharType="separate"/>
          </w:r>
          <w:r>
            <w:rPr>
              <w:rFonts w:hint="eastAsia" w:ascii="仿宋" w:hAnsi="仿宋" w:eastAsia="仿宋" w:cs="仿宋"/>
              <w:color w:val="000000" w:themeColor="text1"/>
            </w:rPr>
            <w:t>八、土地成片开发效益评估</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_Toc704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18</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"_Toc8555" </w:instrText>
          </w:r>
          <w:r>
            <w:rPr>
              <w:color w:val="000000" w:themeColor="text1"/>
            </w:rPr>
            <w:fldChar w:fldCharType="separate"/>
          </w:r>
          <w:r>
            <w:rPr>
              <w:rFonts w:hint="eastAsia" w:ascii="仿宋" w:hAnsi="仿宋" w:eastAsia="仿宋" w:cs="仿宋"/>
              <w:color w:val="000000" w:themeColor="text1"/>
              <w:sz w:val="28"/>
            </w:rPr>
            <w:t>（一）土地利用效益</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_Toc8555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19</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"_Toc19985" </w:instrText>
          </w:r>
          <w:r>
            <w:rPr>
              <w:color w:val="000000" w:themeColor="text1"/>
            </w:rPr>
            <w:fldChar w:fldCharType="separate"/>
          </w:r>
          <w:r>
            <w:rPr>
              <w:rFonts w:hint="eastAsia" w:ascii="仿宋" w:hAnsi="仿宋" w:eastAsia="仿宋" w:cs="仿宋"/>
              <w:color w:val="000000" w:themeColor="text1"/>
              <w:sz w:val="28"/>
            </w:rPr>
            <w:t>（二）经济效益</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_Toc19985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19</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"_Toc5919" </w:instrText>
          </w:r>
          <w:r>
            <w:rPr>
              <w:color w:val="000000" w:themeColor="text1"/>
            </w:rPr>
            <w:fldChar w:fldCharType="separate"/>
          </w:r>
          <w:r>
            <w:rPr>
              <w:rFonts w:hint="eastAsia" w:ascii="仿宋" w:hAnsi="仿宋" w:eastAsia="仿宋" w:cs="仿宋"/>
              <w:color w:val="000000" w:themeColor="text1"/>
              <w:sz w:val="28"/>
            </w:rPr>
            <w:t>（三）社会效益</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_Toc5919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20</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"_Toc21542" </w:instrText>
          </w:r>
          <w:r>
            <w:rPr>
              <w:color w:val="000000" w:themeColor="text1"/>
            </w:rPr>
            <w:fldChar w:fldCharType="separate"/>
          </w:r>
          <w:r>
            <w:rPr>
              <w:rFonts w:hint="eastAsia" w:ascii="仿宋" w:hAnsi="仿宋" w:eastAsia="仿宋" w:cs="仿宋"/>
              <w:color w:val="000000" w:themeColor="text1"/>
              <w:sz w:val="28"/>
            </w:rPr>
            <w:t>（四）生态效益</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_Toc21542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21</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"_Toc1262" </w:instrText>
          </w:r>
          <w:r>
            <w:rPr>
              <w:color w:val="000000" w:themeColor="text1"/>
            </w:rPr>
            <w:fldChar w:fldCharType="separate"/>
          </w:r>
          <w:r>
            <w:rPr>
              <w:rFonts w:hint="eastAsia" w:ascii="仿宋" w:hAnsi="仿宋" w:eastAsia="仿宋" w:cs="仿宋"/>
              <w:color w:val="000000" w:themeColor="text1"/>
            </w:rPr>
            <w:t>九、征求意见情况</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_Toc1262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23</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"_Toc27057" </w:instrText>
          </w:r>
          <w:r>
            <w:rPr>
              <w:color w:val="000000" w:themeColor="text1"/>
            </w:rPr>
            <w:fldChar w:fldCharType="separate"/>
          </w:r>
          <w:r>
            <w:rPr>
              <w:rFonts w:hint="eastAsia" w:ascii="仿宋" w:hAnsi="仿宋" w:eastAsia="仿宋" w:cs="仿宋"/>
              <w:color w:val="000000" w:themeColor="text1"/>
              <w:sz w:val="28"/>
            </w:rPr>
            <w:t>（一）听取人大代表、政协委员、社会公众和有关专家学者意见</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_Toc27057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23</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3"/>
            <w:tabs>
              <w:tab w:val="right" w:leader="dot" w:pos="8787"/>
              <w:tab w:val="clear" w:pos="8777"/>
            </w:tabs>
            <w:ind w:left="420"/>
            <w:rPr>
              <w:rFonts w:ascii="仿宋" w:hAnsi="仿宋" w:eastAsia="仿宋" w:cs="仿宋"/>
              <w:color w:val="000000" w:themeColor="text1"/>
              <w:sz w:val="28"/>
            </w:rPr>
          </w:pPr>
          <w:r>
            <w:rPr>
              <w:color w:val="000000" w:themeColor="text1"/>
            </w:rPr>
            <w:fldChar w:fldCharType="begin"/>
          </w:r>
          <w:r>
            <w:rPr>
              <w:color w:val="000000" w:themeColor="text1"/>
            </w:rPr>
            <w:instrText xml:space="preserve"> HYPERLINK \l "_Toc2562" </w:instrText>
          </w:r>
          <w:r>
            <w:rPr>
              <w:color w:val="000000" w:themeColor="text1"/>
            </w:rPr>
            <w:fldChar w:fldCharType="separate"/>
          </w:r>
          <w:r>
            <w:rPr>
              <w:rFonts w:hint="eastAsia" w:ascii="仿宋" w:hAnsi="仿宋" w:eastAsia="仿宋" w:cs="仿宋"/>
              <w:color w:val="000000" w:themeColor="text1"/>
              <w:sz w:val="28"/>
            </w:rPr>
            <w:t>（二）征求集体经济组织和农民意见</w:t>
          </w:r>
          <w:r>
            <w:rPr>
              <w:rFonts w:hint="eastAsia" w:ascii="仿宋" w:hAnsi="仿宋" w:eastAsia="仿宋" w:cs="仿宋"/>
              <w:color w:val="000000" w:themeColor="text1"/>
              <w:sz w:val="28"/>
            </w:rPr>
            <w:tab/>
          </w:r>
          <w:r>
            <w:rPr>
              <w:rFonts w:hint="eastAsia" w:ascii="仿宋" w:hAnsi="仿宋" w:eastAsia="仿宋" w:cs="仿宋"/>
              <w:color w:val="000000" w:themeColor="text1"/>
              <w:sz w:val="28"/>
            </w:rPr>
            <w:fldChar w:fldCharType="begin"/>
          </w:r>
          <w:r>
            <w:rPr>
              <w:rFonts w:hint="eastAsia" w:ascii="仿宋" w:hAnsi="仿宋" w:eastAsia="仿宋" w:cs="仿宋"/>
              <w:color w:val="000000" w:themeColor="text1"/>
              <w:sz w:val="28"/>
            </w:rPr>
            <w:instrText xml:space="preserve"> PAGEREF _Toc2562 \h </w:instrText>
          </w:r>
          <w:r>
            <w:rPr>
              <w:rFonts w:hint="eastAsia" w:ascii="仿宋" w:hAnsi="仿宋" w:eastAsia="仿宋" w:cs="仿宋"/>
              <w:color w:val="000000" w:themeColor="text1"/>
              <w:sz w:val="28"/>
            </w:rPr>
            <w:fldChar w:fldCharType="separate"/>
          </w:r>
          <w:r>
            <w:rPr>
              <w:rFonts w:ascii="仿宋" w:hAnsi="仿宋" w:eastAsia="仿宋" w:cs="仿宋"/>
              <w:color w:val="000000" w:themeColor="text1"/>
              <w:sz w:val="28"/>
            </w:rPr>
            <w:t>23</w:t>
          </w:r>
          <w:r>
            <w:rPr>
              <w:rFonts w:hint="eastAsia" w:ascii="仿宋" w:hAnsi="仿宋" w:eastAsia="仿宋" w:cs="仿宋"/>
              <w:color w:val="000000" w:themeColor="text1"/>
              <w:sz w:val="28"/>
            </w:rPr>
            <w:fldChar w:fldCharType="end"/>
          </w:r>
          <w:r>
            <w:rPr>
              <w:rFonts w:hint="eastAsia" w:ascii="仿宋" w:hAnsi="仿宋" w:eastAsia="仿宋" w:cs="仿宋"/>
              <w:color w:val="000000" w:themeColor="text1"/>
              <w:sz w:val="28"/>
            </w:rPr>
            <w:fldChar w:fldCharType="end"/>
          </w:r>
        </w:p>
        <w:p>
          <w:pPr>
            <w:pStyle w:val="12"/>
            <w:tabs>
              <w:tab w:val="right" w:leader="dot" w:pos="8787"/>
              <w:tab w:val="clear" w:pos="8777"/>
            </w:tabs>
            <w:rPr>
              <w:rFonts w:ascii="仿宋" w:hAnsi="仿宋" w:eastAsia="仿宋" w:cs="仿宋"/>
              <w:color w:val="000000" w:themeColor="text1"/>
            </w:rPr>
          </w:pPr>
          <w:r>
            <w:rPr>
              <w:color w:val="000000" w:themeColor="text1"/>
            </w:rPr>
            <w:fldChar w:fldCharType="begin"/>
          </w:r>
          <w:r>
            <w:rPr>
              <w:color w:val="000000" w:themeColor="text1"/>
            </w:rPr>
            <w:instrText xml:space="preserve"> HYPERLINK \l "_Toc24942" </w:instrText>
          </w:r>
          <w:r>
            <w:rPr>
              <w:color w:val="000000" w:themeColor="text1"/>
            </w:rPr>
            <w:fldChar w:fldCharType="separate"/>
          </w:r>
          <w:r>
            <w:rPr>
              <w:rFonts w:hint="eastAsia" w:ascii="仿宋" w:hAnsi="仿宋" w:eastAsia="仿宋" w:cs="仿宋"/>
              <w:color w:val="000000" w:themeColor="text1"/>
            </w:rPr>
            <w:t>十、结论</w:t>
          </w:r>
          <w:r>
            <w:rPr>
              <w:rFonts w:hint="eastAsia" w:ascii="仿宋" w:hAnsi="仿宋" w:eastAsia="仿宋" w:cs="仿宋"/>
              <w:color w:val="000000" w:themeColor="text1"/>
            </w:rPr>
            <w:tab/>
          </w:r>
          <w:r>
            <w:rPr>
              <w:rFonts w:hint="eastAsia" w:ascii="仿宋" w:hAnsi="仿宋" w:eastAsia="仿宋" w:cs="仿宋"/>
              <w:color w:val="000000" w:themeColor="text1"/>
            </w:rPr>
            <w:fldChar w:fldCharType="begin"/>
          </w:r>
          <w:r>
            <w:rPr>
              <w:rFonts w:hint="eastAsia" w:ascii="仿宋" w:hAnsi="仿宋" w:eastAsia="仿宋" w:cs="仿宋"/>
              <w:color w:val="000000" w:themeColor="text1"/>
            </w:rPr>
            <w:instrText xml:space="preserve"> PAGEREF _Toc24942 \h </w:instrText>
          </w:r>
          <w:r>
            <w:rPr>
              <w:rFonts w:hint="eastAsia" w:ascii="仿宋" w:hAnsi="仿宋" w:eastAsia="仿宋" w:cs="仿宋"/>
              <w:color w:val="000000" w:themeColor="text1"/>
            </w:rPr>
            <w:fldChar w:fldCharType="separate"/>
          </w:r>
          <w:r>
            <w:rPr>
              <w:rFonts w:ascii="仿宋" w:hAnsi="仿宋" w:eastAsia="仿宋" w:cs="仿宋"/>
              <w:color w:val="000000" w:themeColor="text1"/>
            </w:rPr>
            <w:t>23</w:t>
          </w:r>
          <w:r>
            <w:rPr>
              <w:rFonts w:hint="eastAsia" w:ascii="仿宋" w:hAnsi="仿宋" w:eastAsia="仿宋" w:cs="仿宋"/>
              <w:color w:val="000000" w:themeColor="text1"/>
            </w:rPr>
            <w:fldChar w:fldCharType="end"/>
          </w:r>
          <w:r>
            <w:rPr>
              <w:rFonts w:hint="eastAsia" w:ascii="仿宋" w:hAnsi="仿宋" w:eastAsia="仿宋" w:cs="仿宋"/>
              <w:color w:val="000000" w:themeColor="text1"/>
            </w:rPr>
            <w:fldChar w:fldCharType="end"/>
          </w:r>
        </w:p>
        <w:p>
          <w:pPr>
            <w:pStyle w:val="13"/>
            <w:spacing w:line="360" w:lineRule="auto"/>
            <w:ind w:left="420"/>
            <w:rPr>
              <w:rFonts w:ascii="仿宋" w:hAnsi="仿宋" w:eastAsia="仿宋" w:cs="仿宋"/>
              <w:color w:val="000000" w:themeColor="text1"/>
              <w:sz w:val="28"/>
            </w:rPr>
          </w:pPr>
          <w:r>
            <w:rPr>
              <w:rFonts w:hint="eastAsia" w:ascii="仿宋" w:hAnsi="仿宋" w:eastAsia="仿宋" w:cs="仿宋"/>
              <w:color w:val="000000" w:themeColor="text1"/>
              <w:sz w:val="28"/>
            </w:rPr>
            <w:fldChar w:fldCharType="end"/>
          </w:r>
        </w:p>
      </w:sdtContent>
    </w:sdt>
    <w:p>
      <w:pPr>
        <w:rPr>
          <w:rFonts w:ascii="仿宋" w:hAnsi="仿宋" w:eastAsia="仿宋" w:cs="仿宋"/>
          <w:color w:val="000000" w:themeColor="text1"/>
          <w:sz w:val="28"/>
          <w:szCs w:val="28"/>
          <w:lang w:val="zh-CN"/>
        </w:rPr>
        <w:sectPr>
          <w:pgSz w:w="11906" w:h="16838"/>
          <w:pgMar w:top="1440" w:right="1418" w:bottom="1440" w:left="1701" w:header="851" w:footer="992" w:gutter="0"/>
          <w:pgNumType w:start="1"/>
          <w:cols w:space="425" w:num="1"/>
          <w:docGrid w:type="lines" w:linePitch="312" w:charSpace="0"/>
        </w:sectPr>
      </w:pPr>
    </w:p>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0" w:name="_Toc69542940"/>
      <w:bookmarkStart w:id="1" w:name="_Toc61613920"/>
      <w:bookmarkStart w:id="2" w:name="_Toc69511853"/>
      <w:bookmarkStart w:id="3" w:name="_Toc1282"/>
      <w:bookmarkStart w:id="4" w:name="_Toc69511818"/>
      <w:bookmarkStart w:id="5" w:name="_Toc61179714"/>
      <w:r>
        <w:rPr>
          <w:rFonts w:hint="eastAsia" w:ascii="Times New Roman" w:hAnsi="黑体" w:eastAsia="黑体" w:cs="Times New Roman"/>
          <w:b w:val="0"/>
          <w:color w:val="000000" w:themeColor="text1"/>
          <w:sz w:val="32"/>
          <w:szCs w:val="32"/>
        </w:rPr>
        <w:t>一、概述</w:t>
      </w:r>
      <w:bookmarkEnd w:id="0"/>
      <w:bookmarkEnd w:id="1"/>
      <w:bookmarkEnd w:id="2"/>
      <w:bookmarkEnd w:id="3"/>
      <w:bookmarkEnd w:id="4"/>
      <w:bookmarkEnd w:id="5"/>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6" w:name="_Toc69511819"/>
      <w:bookmarkStart w:id="7" w:name="_Toc61179715"/>
      <w:bookmarkStart w:id="8" w:name="_Toc69511854"/>
      <w:bookmarkStart w:id="9" w:name="_Toc9255"/>
      <w:bookmarkStart w:id="10" w:name="_Toc69542941"/>
      <w:r>
        <w:rPr>
          <w:rFonts w:hint="eastAsia" w:ascii="Times New Roman" w:hAnsi="Arial" w:eastAsia="黑体" w:cs="Times New Roman"/>
          <w:b w:val="0"/>
          <w:color w:val="000000" w:themeColor="text1"/>
          <w:kern w:val="2"/>
          <w:sz w:val="32"/>
          <w:szCs w:val="32"/>
        </w:rPr>
        <w:t>（一）编制背景</w:t>
      </w:r>
      <w:bookmarkEnd w:id="6"/>
      <w:bookmarkEnd w:id="7"/>
      <w:bookmarkEnd w:id="8"/>
      <w:bookmarkEnd w:id="9"/>
      <w:bookmarkEnd w:id="10"/>
    </w:p>
    <w:p>
      <w:pPr>
        <w:spacing w:line="360" w:lineRule="auto"/>
        <w:ind w:firstLine="640" w:firstLineChars="200"/>
        <w:rPr>
          <w:rFonts w:ascii="Times New Roman" w:hAnsi="仿宋" w:eastAsia="仿宋" w:cs="Times New Roman"/>
          <w:color w:val="000000" w:themeColor="text1"/>
          <w:sz w:val="32"/>
          <w:szCs w:val="32"/>
        </w:rPr>
      </w:pPr>
      <w:r>
        <w:rPr>
          <w:rFonts w:ascii="Times New Roman" w:hAnsi="仿宋" w:eastAsia="仿宋" w:cs="Times New Roman"/>
          <w:color w:val="000000" w:themeColor="text1"/>
          <w:sz w:val="32"/>
          <w:szCs w:val="32"/>
        </w:rPr>
        <w:t>《中华人民共和国国民经济和社会发展第十四个五年规划和</w:t>
      </w:r>
      <w:r>
        <w:rPr>
          <w:rFonts w:hint="eastAsia" w:ascii="Times New Roman" w:hAnsi="仿宋" w:eastAsia="仿宋" w:cs="Times New Roman"/>
          <w:color w:val="000000" w:themeColor="text1"/>
          <w:sz w:val="32"/>
          <w:szCs w:val="32"/>
        </w:rPr>
        <w:t>2</w:t>
      </w:r>
      <w:r>
        <w:rPr>
          <w:rFonts w:ascii="Times New Roman" w:hAnsi="仿宋" w:eastAsia="仿宋" w:cs="Times New Roman"/>
          <w:color w:val="000000" w:themeColor="text1"/>
          <w:sz w:val="32"/>
          <w:szCs w:val="32"/>
        </w:rPr>
        <w:t>035年远景目标纲要》</w:t>
      </w:r>
      <w:r>
        <w:rPr>
          <w:rFonts w:hint="eastAsia" w:ascii="Times New Roman" w:hAnsi="仿宋" w:eastAsia="仿宋" w:cs="Times New Roman"/>
          <w:color w:val="000000" w:themeColor="text1"/>
          <w:sz w:val="32"/>
          <w:szCs w:val="32"/>
        </w:rPr>
        <w:t>提出“</w:t>
      </w:r>
      <w:r>
        <w:rPr>
          <w:rFonts w:ascii="Times New Roman" w:hAnsi="仿宋" w:eastAsia="仿宋" w:cs="Times New Roman"/>
          <w:color w:val="000000" w:themeColor="text1"/>
          <w:sz w:val="32"/>
          <w:szCs w:val="32"/>
        </w:rPr>
        <w:t>深入实施制造强国战略</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推动制造业高端化</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智能化</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绿色化。</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国务院关于新时代支持革命老区振兴发展的意见</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国发〔2021〕3号</w:t>
      </w:r>
      <w:r>
        <w:rPr>
          <w:rFonts w:hint="eastAsia" w:ascii="Times New Roman" w:hAnsi="仿宋" w:eastAsia="仿宋" w:cs="Times New Roman"/>
          <w:color w:val="000000" w:themeColor="text1"/>
          <w:sz w:val="32"/>
          <w:szCs w:val="32"/>
        </w:rPr>
        <w:t>）提到，加大</w:t>
      </w:r>
      <w:r>
        <w:rPr>
          <w:rFonts w:ascii="Times New Roman" w:hAnsi="仿宋" w:eastAsia="仿宋" w:cs="Times New Roman"/>
          <w:color w:val="000000" w:themeColor="text1"/>
          <w:sz w:val="32"/>
          <w:szCs w:val="32"/>
        </w:rPr>
        <w:t>对</w:t>
      </w:r>
      <w:r>
        <w:rPr>
          <w:rFonts w:hint="eastAsia" w:ascii="Times New Roman" w:hAnsi="仿宋" w:eastAsia="仿宋" w:cs="Times New Roman"/>
          <w:color w:val="000000" w:themeColor="text1"/>
          <w:sz w:val="32"/>
          <w:szCs w:val="32"/>
        </w:rPr>
        <w:t>包括</w:t>
      </w:r>
      <w:r>
        <w:rPr>
          <w:rFonts w:ascii="Times New Roman" w:hAnsi="仿宋" w:eastAsia="仿宋" w:cs="Times New Roman"/>
          <w:color w:val="000000" w:themeColor="text1"/>
          <w:sz w:val="32"/>
          <w:szCs w:val="32"/>
        </w:rPr>
        <w:t>三明市在内的革命老区的</w:t>
      </w:r>
      <w:r>
        <w:rPr>
          <w:rFonts w:hint="eastAsia" w:ascii="Times New Roman" w:hAnsi="仿宋" w:eastAsia="仿宋" w:cs="Times New Roman"/>
          <w:color w:val="000000" w:themeColor="text1"/>
          <w:sz w:val="32"/>
          <w:szCs w:val="32"/>
        </w:rPr>
        <w:t>扶持力度</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三明市抓住此次重大历史机遇，牢记习近平总书记重要嘱托，巩固拓展提升“三明实践”，书写全方位推动高质量发展的三明篇章。</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泉三高端装备产业园，坐落于福建梅列经济开发区小蕉工业园，园区依托原有装备制造业产业基础优势以及</w:t>
      </w:r>
      <w:r>
        <w:rPr>
          <w:rFonts w:ascii="Times New Roman" w:hAnsi="仿宋" w:eastAsia="仿宋" w:cs="Times New Roman"/>
          <w:color w:val="000000" w:themeColor="text1"/>
          <w:sz w:val="32"/>
          <w:szCs w:val="32"/>
        </w:rPr>
        <w:t>三钢集团产能优势，</w:t>
      </w:r>
      <w:r>
        <w:rPr>
          <w:rFonts w:hint="eastAsia" w:ascii="Times New Roman" w:hAnsi="仿宋" w:eastAsia="仿宋" w:cs="Times New Roman"/>
          <w:color w:val="000000" w:themeColor="text1"/>
          <w:sz w:val="32"/>
          <w:szCs w:val="32"/>
        </w:rPr>
        <w:t>发展目标为国家级全产业链装备</w:t>
      </w:r>
      <w:r>
        <w:rPr>
          <w:rFonts w:ascii="Times New Roman" w:hAnsi="仿宋" w:eastAsia="仿宋" w:cs="Times New Roman"/>
          <w:color w:val="000000" w:themeColor="text1"/>
          <w:sz w:val="32"/>
          <w:szCs w:val="32"/>
        </w:rPr>
        <w:t>产业</w:t>
      </w:r>
      <w:r>
        <w:rPr>
          <w:rFonts w:hint="eastAsia" w:ascii="Times New Roman" w:hAnsi="仿宋" w:eastAsia="仿宋" w:cs="Times New Roman"/>
          <w:color w:val="000000" w:themeColor="text1"/>
          <w:sz w:val="32"/>
          <w:szCs w:val="32"/>
        </w:rPr>
        <w:t>园区。园区的建设是贯彻落实</w:t>
      </w:r>
      <w:r>
        <w:rPr>
          <w:rFonts w:ascii="Times New Roman" w:hAnsi="仿宋" w:eastAsia="仿宋" w:cs="Times New Roman"/>
          <w:color w:val="000000" w:themeColor="text1"/>
          <w:sz w:val="32"/>
          <w:szCs w:val="32"/>
        </w:rPr>
        <w:t>习总</w:t>
      </w:r>
      <w:r>
        <w:rPr>
          <w:rFonts w:hint="eastAsia" w:ascii="Times New Roman" w:hAnsi="仿宋" w:eastAsia="仿宋" w:cs="Times New Roman"/>
          <w:color w:val="000000" w:themeColor="text1"/>
          <w:sz w:val="32"/>
          <w:szCs w:val="32"/>
        </w:rPr>
        <w:t>书记在闽</w:t>
      </w:r>
      <w:r>
        <w:rPr>
          <w:rFonts w:ascii="Times New Roman" w:hAnsi="仿宋" w:eastAsia="仿宋" w:cs="Times New Roman"/>
          <w:color w:val="000000" w:themeColor="text1"/>
          <w:sz w:val="32"/>
          <w:szCs w:val="32"/>
        </w:rPr>
        <w:t>工作期间</w:t>
      </w:r>
      <w:r>
        <w:rPr>
          <w:rFonts w:hint="eastAsia" w:ascii="Times New Roman" w:hAnsi="仿宋" w:eastAsia="仿宋" w:cs="Times New Roman"/>
          <w:color w:val="000000" w:themeColor="text1"/>
          <w:sz w:val="32"/>
          <w:szCs w:val="32"/>
        </w:rPr>
        <w:t>加强“山海区域协作”</w:t>
      </w:r>
      <w:r>
        <w:rPr>
          <w:rFonts w:ascii="Times New Roman" w:hAnsi="仿宋" w:eastAsia="仿宋" w:cs="Times New Roman"/>
          <w:color w:val="000000" w:themeColor="text1"/>
          <w:sz w:val="32"/>
          <w:szCs w:val="32"/>
        </w:rPr>
        <w:t>重要嘱托的</w:t>
      </w:r>
      <w:r>
        <w:rPr>
          <w:rFonts w:hint="eastAsia" w:ascii="Times New Roman" w:hAnsi="仿宋" w:eastAsia="仿宋" w:cs="Times New Roman"/>
          <w:color w:val="000000" w:themeColor="text1"/>
          <w:sz w:val="32"/>
          <w:szCs w:val="32"/>
        </w:rPr>
        <w:t>“三明实践”，也</w:t>
      </w:r>
      <w:r>
        <w:rPr>
          <w:rFonts w:ascii="Times New Roman" w:hAnsi="仿宋" w:eastAsia="仿宋" w:cs="Times New Roman"/>
          <w:color w:val="000000" w:themeColor="text1"/>
          <w:sz w:val="32"/>
          <w:szCs w:val="32"/>
        </w:rPr>
        <w:t>是</w:t>
      </w:r>
      <w:r>
        <w:rPr>
          <w:rFonts w:hint="eastAsia" w:ascii="Times New Roman" w:hAnsi="仿宋" w:eastAsia="仿宋" w:cs="Times New Roman"/>
          <w:color w:val="000000" w:themeColor="text1"/>
          <w:sz w:val="32"/>
          <w:szCs w:val="32"/>
        </w:rPr>
        <w:t>落实省委省政府关于推进闽西南协同发展区建设战略部署的重要载体，既有利于促进三明市装备制造产业集群发展，也有利于泉州市优化城市布局、实现“腾笼换鸟”，促进产业转型升级。泉州、三明两市政府已签订《共建泉三高端装备产业园合作协议》和具体项目入园协议。产业园通过邀请中国铸造协会高标准制定园区产业规划，入园企业定性为装备制造类企业，由中铸协进行入园资格评审，起点就将园区定位为省级装备产业园区，逐步建设成为国家级全产业链装备产业园区。该</w:t>
      </w:r>
      <w:r>
        <w:rPr>
          <w:rFonts w:ascii="Times New Roman" w:hAnsi="仿宋" w:eastAsia="仿宋" w:cs="Times New Roman"/>
          <w:color w:val="000000" w:themeColor="text1"/>
          <w:sz w:val="32"/>
          <w:szCs w:val="32"/>
        </w:rPr>
        <w:t>园区建设，对于</w:t>
      </w:r>
      <w:r>
        <w:rPr>
          <w:rFonts w:hint="eastAsia" w:ascii="Times New Roman" w:hAnsi="仿宋" w:eastAsia="仿宋" w:cs="Times New Roman"/>
          <w:color w:val="000000" w:themeColor="text1"/>
          <w:sz w:val="32"/>
          <w:szCs w:val="32"/>
        </w:rPr>
        <w:t>实施</w:t>
      </w:r>
      <w:r>
        <w:rPr>
          <w:rFonts w:ascii="Times New Roman" w:hAnsi="仿宋" w:eastAsia="仿宋" w:cs="Times New Roman"/>
          <w:color w:val="000000" w:themeColor="text1"/>
          <w:sz w:val="32"/>
          <w:szCs w:val="32"/>
        </w:rPr>
        <w:t>国家十四五规划</w:t>
      </w:r>
      <w:r>
        <w:rPr>
          <w:rFonts w:hint="eastAsia" w:ascii="Times New Roman" w:hAnsi="仿宋" w:eastAsia="仿宋" w:cs="Times New Roman"/>
          <w:color w:val="000000" w:themeColor="text1"/>
          <w:sz w:val="32"/>
          <w:szCs w:val="32"/>
        </w:rPr>
        <w:t>制造</w:t>
      </w:r>
      <w:r>
        <w:rPr>
          <w:rFonts w:ascii="Times New Roman" w:hAnsi="仿宋" w:eastAsia="仿宋" w:cs="Times New Roman"/>
          <w:color w:val="000000" w:themeColor="text1"/>
          <w:sz w:val="32"/>
          <w:szCs w:val="32"/>
        </w:rPr>
        <w:t>强国战略、支持三明革命老区</w:t>
      </w:r>
      <w:r>
        <w:rPr>
          <w:rFonts w:hint="eastAsia" w:ascii="Times New Roman" w:hAnsi="仿宋" w:eastAsia="仿宋" w:cs="Times New Roman"/>
          <w:color w:val="000000" w:themeColor="text1"/>
          <w:sz w:val="32"/>
          <w:szCs w:val="32"/>
        </w:rPr>
        <w:t>苏区振兴发展</w:t>
      </w:r>
      <w:r>
        <w:rPr>
          <w:rFonts w:ascii="Times New Roman" w:hAnsi="仿宋" w:eastAsia="仿宋" w:cs="Times New Roman"/>
          <w:color w:val="000000" w:themeColor="text1"/>
          <w:sz w:val="32"/>
          <w:szCs w:val="32"/>
        </w:rPr>
        <w:t>具有重要意义。</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2020年1月1日，新修正的《中华人民共和国土地管理法》（以下简称《土地管理法》）正式实施，其第四十五条规定“在土地利用总体规划确定的城镇建设用地范围内，经省级以上人民政府批准由县级以上地方人民政府组织实施的成片开发建设需要用地的，可以依法实施征收”，2020年11月，自然资源部印发《土地征收成片开发标准（试行）》（以下简称《标准》），明确了成片开发标准、流程、土地征收成片开发方案的内容等。福建省自然资源厅相应制定《福建省土地征收成片开发方案报批实施细则（试行）》（以下简称《实施细则》）和《福建省土地征收成片开发方案编制参考指南（试行）》（以下简称《指南》），进一步明确细化了土地征收成片开发报批相关要求。上述政策的出台，系统梳理了国家和省市层面时下经济社会发展需求，是贯彻落实新《土地管理法》、规范土地征收成片开发方案审查报批工作、保障经济和社会发展用地需要、维护被征收农村集体经济组织和农民的合法权益的需要。</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为了保障泉三高端装备产业园近期</w:t>
      </w:r>
      <w:r>
        <w:rPr>
          <w:rFonts w:ascii="Times New Roman" w:hAnsi="仿宋" w:eastAsia="仿宋" w:cs="Times New Roman"/>
          <w:color w:val="000000" w:themeColor="text1"/>
          <w:sz w:val="32"/>
          <w:szCs w:val="32"/>
        </w:rPr>
        <w:t>建设项目</w:t>
      </w:r>
      <w:r>
        <w:rPr>
          <w:rFonts w:hint="eastAsia" w:ascii="Times New Roman" w:hAnsi="仿宋" w:eastAsia="仿宋" w:cs="Times New Roman"/>
          <w:color w:val="000000" w:themeColor="text1"/>
          <w:sz w:val="32"/>
          <w:szCs w:val="32"/>
        </w:rPr>
        <w:t>顺利进展，节约集约土地利用，降低土地开发成本，促进合理的产业发展和资源配置，先行开展土地基础设施建设，根据《土地管理法》、《标准》</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《实施细则》、《指南》等相关文件的要求，结合三明市国民经济和社会发展计划、土地利用</w:t>
      </w:r>
      <w:r>
        <w:rPr>
          <w:rFonts w:ascii="Times New Roman" w:hAnsi="仿宋" w:eastAsia="仿宋" w:cs="Times New Roman"/>
          <w:color w:val="000000" w:themeColor="text1"/>
          <w:sz w:val="32"/>
          <w:szCs w:val="32"/>
        </w:rPr>
        <w:t>总体规划</w:t>
      </w:r>
      <w:r>
        <w:rPr>
          <w:rFonts w:hint="eastAsia" w:ascii="Times New Roman" w:hAnsi="仿宋" w:eastAsia="仿宋" w:cs="Times New Roman"/>
          <w:color w:val="000000" w:themeColor="text1"/>
          <w:sz w:val="32"/>
          <w:szCs w:val="32"/>
        </w:rPr>
        <w:t>，编制本土地征收成片开发方案。</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1" w:name="_Toc69511855"/>
      <w:bookmarkStart w:id="12" w:name="_Toc19936"/>
      <w:bookmarkStart w:id="13" w:name="_Toc69511820"/>
      <w:bookmarkStart w:id="14" w:name="_Toc69542942"/>
      <w:bookmarkStart w:id="15" w:name="_Toc61179716"/>
      <w:r>
        <w:rPr>
          <w:rFonts w:hint="eastAsia" w:ascii="Times New Roman" w:hAnsi="Arial" w:eastAsia="黑体" w:cs="Times New Roman"/>
          <w:b w:val="0"/>
          <w:color w:val="000000" w:themeColor="text1"/>
          <w:kern w:val="2"/>
          <w:sz w:val="32"/>
          <w:szCs w:val="32"/>
        </w:rPr>
        <w:t>（二）编制原则</w:t>
      </w:r>
      <w:bookmarkEnd w:id="11"/>
      <w:bookmarkEnd w:id="12"/>
      <w:bookmarkEnd w:id="13"/>
      <w:bookmarkEnd w:id="14"/>
      <w:bookmarkEnd w:id="15"/>
    </w:p>
    <w:p>
      <w:pPr>
        <w:spacing w:line="360" w:lineRule="auto"/>
        <w:ind w:firstLine="640" w:firstLineChars="200"/>
        <w:rPr>
          <w:rFonts w:ascii="Times New Roman" w:hAnsi="仿宋" w:eastAsia="仿宋" w:cs="Times New Roman"/>
          <w:color w:val="000000" w:themeColor="text1"/>
          <w:sz w:val="32"/>
          <w:szCs w:val="32"/>
        </w:rPr>
      </w:pPr>
      <w:bookmarkStart w:id="16" w:name="_Toc61613908"/>
      <w:r>
        <w:rPr>
          <w:rFonts w:hint="eastAsia" w:ascii="Times New Roman" w:hAnsi="仿宋" w:eastAsia="仿宋" w:cs="Times New Roman"/>
          <w:color w:val="000000" w:themeColor="text1"/>
          <w:sz w:val="32"/>
          <w:szCs w:val="32"/>
        </w:rPr>
        <w:t>1．遵守法律法规、维护公共利益原则</w:t>
      </w:r>
      <w:bookmarkEnd w:id="16"/>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土地征收成片开发应遵循相关法律、法规和规程的规定，符合国民经济和社会发展规划、国土空间规划，纳入当地国民经济和社会发展年度计划，且符合国家产业政策和供地政策。</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土地征收成片开发要以人民为中心，为公共利益的需要，提高成片开发范围内基础设施、公共服务设施以及其他公益性用地的比例，兼顾群众的现实和长远利益，维护群众合法权益，充分征求成片开发区域内农村集体经济组织和农民的意见。</w:t>
      </w:r>
    </w:p>
    <w:p>
      <w:pPr>
        <w:spacing w:line="360" w:lineRule="auto"/>
        <w:ind w:firstLine="640" w:firstLineChars="200"/>
        <w:rPr>
          <w:rFonts w:ascii="Times New Roman" w:hAnsi="仿宋" w:eastAsia="仿宋" w:cs="Times New Roman"/>
          <w:color w:val="000000" w:themeColor="text1"/>
          <w:sz w:val="32"/>
          <w:szCs w:val="32"/>
        </w:rPr>
      </w:pPr>
      <w:bookmarkStart w:id="17" w:name="_Toc61613909"/>
      <w:r>
        <w:rPr>
          <w:rFonts w:hint="eastAsia" w:ascii="Times New Roman" w:hAnsi="仿宋" w:eastAsia="仿宋" w:cs="Times New Roman"/>
          <w:color w:val="000000" w:themeColor="text1"/>
          <w:sz w:val="32"/>
          <w:szCs w:val="32"/>
        </w:rPr>
        <w:t>2．科学合理编制、确保开发必要原则</w:t>
      </w:r>
      <w:bookmarkEnd w:id="17"/>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土地征收成片开发应当坚持依法合规、开发</w:t>
      </w:r>
      <w:r>
        <w:rPr>
          <w:rFonts w:ascii="Times New Roman" w:hAnsi="仿宋" w:eastAsia="仿宋" w:cs="Times New Roman"/>
          <w:color w:val="000000" w:themeColor="text1"/>
          <w:sz w:val="32"/>
          <w:szCs w:val="32"/>
        </w:rPr>
        <w:t>保护相结合</w:t>
      </w:r>
      <w:r>
        <w:rPr>
          <w:rFonts w:hint="eastAsia" w:ascii="Times New Roman" w:hAnsi="仿宋" w:eastAsia="仿宋" w:cs="Times New Roman"/>
          <w:color w:val="000000" w:themeColor="text1"/>
          <w:sz w:val="32"/>
          <w:szCs w:val="32"/>
        </w:rPr>
        <w:t>的</w:t>
      </w:r>
      <w:r>
        <w:rPr>
          <w:rFonts w:ascii="Times New Roman" w:hAnsi="仿宋" w:eastAsia="仿宋" w:cs="Times New Roman"/>
          <w:color w:val="000000" w:themeColor="text1"/>
          <w:sz w:val="32"/>
          <w:szCs w:val="32"/>
        </w:rPr>
        <w:t>科学原则</w:t>
      </w:r>
      <w:r>
        <w:rPr>
          <w:rFonts w:hint="eastAsia" w:ascii="Times New Roman" w:hAnsi="仿宋" w:eastAsia="仿宋" w:cs="Times New Roman"/>
          <w:color w:val="000000" w:themeColor="text1"/>
          <w:sz w:val="32"/>
          <w:szCs w:val="32"/>
        </w:rPr>
        <w:t>，立足梅列区的长远发展，根据土地经济规律、社会经济发展和市场需求，确保开发的必要性。通过</w:t>
      </w:r>
      <w:r>
        <w:rPr>
          <w:rFonts w:ascii="Times New Roman" w:hAnsi="仿宋" w:eastAsia="仿宋" w:cs="Times New Roman"/>
          <w:color w:val="000000" w:themeColor="text1"/>
          <w:sz w:val="32"/>
          <w:szCs w:val="32"/>
        </w:rPr>
        <w:t>对选址的分析、符合</w:t>
      </w:r>
      <w:r>
        <w:rPr>
          <w:rFonts w:hint="eastAsia" w:ascii="Times New Roman" w:hAnsi="仿宋" w:eastAsia="仿宋" w:cs="Times New Roman"/>
          <w:color w:val="000000" w:themeColor="text1"/>
          <w:sz w:val="32"/>
          <w:szCs w:val="32"/>
        </w:rPr>
        <w:t>各种</w:t>
      </w:r>
      <w:r>
        <w:rPr>
          <w:rFonts w:ascii="Times New Roman" w:hAnsi="仿宋" w:eastAsia="仿宋" w:cs="Times New Roman"/>
          <w:color w:val="000000" w:themeColor="text1"/>
          <w:sz w:val="32"/>
          <w:szCs w:val="32"/>
        </w:rPr>
        <w:t>相关规划</w:t>
      </w:r>
      <w:r>
        <w:rPr>
          <w:rFonts w:hint="eastAsia" w:ascii="Times New Roman" w:hAnsi="仿宋" w:eastAsia="仿宋" w:cs="Times New Roman"/>
          <w:color w:val="000000" w:themeColor="text1"/>
          <w:sz w:val="32"/>
          <w:szCs w:val="32"/>
        </w:rPr>
        <w:t>的</w:t>
      </w:r>
      <w:r>
        <w:rPr>
          <w:rFonts w:ascii="Times New Roman" w:hAnsi="仿宋" w:eastAsia="仿宋" w:cs="Times New Roman"/>
          <w:color w:val="000000" w:themeColor="text1"/>
          <w:sz w:val="32"/>
          <w:szCs w:val="32"/>
        </w:rPr>
        <w:t>情况、符合</w:t>
      </w:r>
      <w:r>
        <w:rPr>
          <w:rFonts w:hint="eastAsia" w:ascii="Times New Roman" w:hAnsi="仿宋" w:eastAsia="仿宋" w:cs="Times New Roman"/>
          <w:color w:val="000000" w:themeColor="text1"/>
          <w:sz w:val="32"/>
          <w:szCs w:val="32"/>
        </w:rPr>
        <w:t>相关</w:t>
      </w:r>
      <w:r>
        <w:rPr>
          <w:rFonts w:ascii="Times New Roman" w:hAnsi="仿宋" w:eastAsia="仿宋" w:cs="Times New Roman"/>
          <w:color w:val="000000" w:themeColor="text1"/>
          <w:sz w:val="32"/>
          <w:szCs w:val="32"/>
        </w:rPr>
        <w:t>产业政策</w:t>
      </w:r>
      <w:r>
        <w:rPr>
          <w:rFonts w:hint="eastAsia" w:ascii="Times New Roman" w:hAnsi="仿宋" w:eastAsia="仿宋" w:cs="Times New Roman"/>
          <w:color w:val="000000" w:themeColor="text1"/>
          <w:sz w:val="32"/>
          <w:szCs w:val="32"/>
        </w:rPr>
        <w:t>的情况及</w:t>
      </w:r>
      <w:r>
        <w:rPr>
          <w:rFonts w:ascii="Times New Roman" w:hAnsi="仿宋" w:eastAsia="仿宋" w:cs="Times New Roman"/>
          <w:color w:val="000000" w:themeColor="text1"/>
          <w:sz w:val="32"/>
          <w:szCs w:val="32"/>
        </w:rPr>
        <w:t>城镇发展情况的分析</w:t>
      </w:r>
      <w:r>
        <w:rPr>
          <w:rFonts w:hint="eastAsia" w:ascii="Times New Roman" w:hAnsi="仿宋" w:eastAsia="仿宋" w:cs="Times New Roman"/>
          <w:color w:val="000000" w:themeColor="text1"/>
          <w:sz w:val="32"/>
          <w:szCs w:val="32"/>
        </w:rPr>
        <w:t>，论证此次</w:t>
      </w:r>
      <w:r>
        <w:rPr>
          <w:rFonts w:ascii="Times New Roman" w:hAnsi="仿宋" w:eastAsia="仿宋" w:cs="Times New Roman"/>
          <w:color w:val="000000" w:themeColor="text1"/>
          <w:sz w:val="32"/>
          <w:szCs w:val="32"/>
        </w:rPr>
        <w:t>成片开发的合理性。</w:t>
      </w:r>
      <w:r>
        <w:rPr>
          <w:rFonts w:hint="eastAsia" w:ascii="Times New Roman" w:hAnsi="仿宋" w:eastAsia="仿宋" w:cs="Times New Roman"/>
          <w:color w:val="000000" w:themeColor="text1"/>
          <w:sz w:val="32"/>
          <w:szCs w:val="32"/>
        </w:rPr>
        <w:t>因地制宜，有针对性地开展编制工作，着重解决实际问题。</w:t>
      </w:r>
    </w:p>
    <w:p>
      <w:pPr>
        <w:spacing w:line="360" w:lineRule="auto"/>
        <w:ind w:firstLine="640" w:firstLineChars="200"/>
        <w:rPr>
          <w:rFonts w:ascii="Times New Roman" w:hAnsi="仿宋" w:eastAsia="仿宋" w:cs="Times New Roman"/>
          <w:color w:val="000000" w:themeColor="text1"/>
          <w:sz w:val="32"/>
          <w:szCs w:val="32"/>
        </w:rPr>
      </w:pPr>
      <w:bookmarkStart w:id="18" w:name="_Toc61613910"/>
      <w:r>
        <w:rPr>
          <w:rFonts w:hint="eastAsia" w:ascii="Times New Roman" w:hAnsi="仿宋" w:eastAsia="仿宋" w:cs="Times New Roman"/>
          <w:color w:val="000000" w:themeColor="text1"/>
          <w:sz w:val="32"/>
          <w:szCs w:val="32"/>
        </w:rPr>
        <w:t>3．严格保护耕地、节约集约用地原则</w:t>
      </w:r>
      <w:bookmarkEnd w:id="18"/>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土地征收成片开发应落实最严格的耕地保护制度，尽量避让优质耕地。要根据经济社会发展状况、实际用地需求、土地利用相关政策等确定成片开发范围，科学合理规划布局，优化资源配置，节约集约利用土地，提高土地利用效率。</w:t>
      </w:r>
      <w:bookmarkStart w:id="19" w:name="_Toc61179717"/>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20" w:name="_Toc4650"/>
      <w:bookmarkStart w:id="21" w:name="_Toc69511856"/>
      <w:bookmarkStart w:id="22" w:name="_Toc69511821"/>
      <w:bookmarkStart w:id="23" w:name="_Toc69542943"/>
      <w:r>
        <w:rPr>
          <w:rFonts w:hint="eastAsia" w:ascii="Times New Roman" w:hAnsi="Arial" w:eastAsia="黑体" w:cs="Times New Roman"/>
          <w:b w:val="0"/>
          <w:color w:val="000000" w:themeColor="text1"/>
          <w:kern w:val="2"/>
          <w:sz w:val="32"/>
          <w:szCs w:val="32"/>
        </w:rPr>
        <w:t>（三）编制依据</w:t>
      </w:r>
      <w:bookmarkEnd w:id="19"/>
      <w:bookmarkEnd w:id="20"/>
      <w:bookmarkEnd w:id="21"/>
      <w:bookmarkEnd w:id="22"/>
      <w:bookmarkEnd w:id="23"/>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中华</w:t>
      </w:r>
      <w:r>
        <w:rPr>
          <w:rFonts w:ascii="Times New Roman" w:hAnsi="仿宋" w:eastAsia="仿宋" w:cs="Times New Roman"/>
          <w:color w:val="000000" w:themeColor="text1"/>
          <w:sz w:val="32"/>
          <w:szCs w:val="32"/>
        </w:rPr>
        <w:t>人民共和国</w:t>
      </w:r>
      <w:r>
        <w:rPr>
          <w:rFonts w:hint="eastAsia" w:ascii="Times New Roman" w:hAnsi="仿宋" w:eastAsia="仿宋" w:cs="Times New Roman"/>
          <w:color w:val="000000" w:themeColor="text1"/>
          <w:sz w:val="32"/>
          <w:szCs w:val="32"/>
        </w:rPr>
        <w:t>土地管理法</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2019</w:t>
      </w:r>
      <w:r>
        <w:rPr>
          <w:rFonts w:hint="eastAsia" w:ascii="Times New Roman" w:hAnsi="仿宋" w:eastAsia="仿宋" w:cs="Times New Roman"/>
          <w:color w:val="000000" w:themeColor="text1"/>
          <w:sz w:val="32"/>
          <w:szCs w:val="32"/>
        </w:rPr>
        <w:t>年修正）；</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2．《自然</w:t>
      </w:r>
      <w:r>
        <w:rPr>
          <w:rFonts w:ascii="Times New Roman" w:hAnsi="仿宋" w:eastAsia="仿宋" w:cs="Times New Roman"/>
          <w:color w:val="000000" w:themeColor="text1"/>
          <w:sz w:val="32"/>
          <w:szCs w:val="32"/>
        </w:rPr>
        <w:t>资源部</w:t>
      </w:r>
      <w:r>
        <w:rPr>
          <w:rFonts w:hint="eastAsia" w:ascii="Times New Roman" w:hAnsi="仿宋" w:eastAsia="仿宋" w:cs="Times New Roman"/>
          <w:color w:val="000000" w:themeColor="text1"/>
          <w:sz w:val="32"/>
          <w:szCs w:val="32"/>
        </w:rPr>
        <w:t>关于</w:t>
      </w:r>
      <w:r>
        <w:rPr>
          <w:rFonts w:ascii="Times New Roman" w:hAnsi="仿宋" w:eastAsia="仿宋" w:cs="Times New Roman"/>
          <w:color w:val="000000" w:themeColor="text1"/>
          <w:sz w:val="32"/>
          <w:szCs w:val="32"/>
        </w:rPr>
        <w:t>印发</w:t>
      </w:r>
      <w:r>
        <w:rPr>
          <w:rFonts w:hint="eastAsia" w:ascii="Times New Roman" w:hAnsi="仿宋" w:eastAsia="仿宋" w:cs="Times New Roman"/>
          <w:color w:val="000000" w:themeColor="text1"/>
          <w:sz w:val="32"/>
          <w:szCs w:val="32"/>
        </w:rPr>
        <w:t>〈土地</w:t>
      </w:r>
      <w:r>
        <w:rPr>
          <w:rFonts w:ascii="Times New Roman" w:hAnsi="仿宋" w:eastAsia="仿宋" w:cs="Times New Roman"/>
          <w:color w:val="000000" w:themeColor="text1"/>
          <w:sz w:val="32"/>
          <w:szCs w:val="32"/>
        </w:rPr>
        <w:t>征收成片开发标准（</w:t>
      </w:r>
      <w:r>
        <w:rPr>
          <w:rFonts w:hint="eastAsia" w:ascii="Times New Roman" w:hAnsi="仿宋" w:eastAsia="仿宋" w:cs="Times New Roman"/>
          <w:color w:val="000000" w:themeColor="text1"/>
          <w:sz w:val="32"/>
          <w:szCs w:val="32"/>
        </w:rPr>
        <w:t>试行</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〉的</w:t>
      </w:r>
      <w:r>
        <w:rPr>
          <w:rFonts w:ascii="Times New Roman" w:hAnsi="仿宋" w:eastAsia="仿宋" w:cs="Times New Roman"/>
          <w:color w:val="000000" w:themeColor="text1"/>
          <w:sz w:val="32"/>
          <w:szCs w:val="32"/>
        </w:rPr>
        <w:t>通知</w:t>
      </w:r>
      <w:r>
        <w:rPr>
          <w:rFonts w:hint="eastAsia" w:ascii="Times New Roman" w:hAnsi="仿宋" w:eastAsia="仿宋" w:cs="Times New Roman"/>
          <w:color w:val="000000" w:themeColor="text1"/>
          <w:sz w:val="32"/>
          <w:szCs w:val="32"/>
        </w:rPr>
        <w:t>》（自然资</w:t>
      </w:r>
      <w:r>
        <w:rPr>
          <w:rFonts w:ascii="Times New Roman" w:hAnsi="仿宋" w:eastAsia="仿宋" w:cs="Times New Roman"/>
          <w:color w:val="000000" w:themeColor="text1"/>
          <w:sz w:val="32"/>
          <w:szCs w:val="32"/>
        </w:rPr>
        <w:t>规〔2020〕</w:t>
      </w:r>
      <w:r>
        <w:rPr>
          <w:rFonts w:hint="eastAsia" w:ascii="Times New Roman" w:hAnsi="仿宋" w:eastAsia="仿宋" w:cs="Times New Roman"/>
          <w:color w:val="000000" w:themeColor="text1"/>
          <w:sz w:val="32"/>
          <w:szCs w:val="32"/>
        </w:rPr>
        <w:t>5号）</w:t>
      </w:r>
      <w:r>
        <w:rPr>
          <w:rFonts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3．《自然资源部办公厅</w:t>
      </w:r>
      <w:r>
        <w:rPr>
          <w:rFonts w:ascii="Times New Roman" w:hAnsi="仿宋" w:eastAsia="仿宋" w:cs="Times New Roman"/>
          <w:color w:val="000000" w:themeColor="text1"/>
          <w:sz w:val="32"/>
          <w:szCs w:val="32"/>
        </w:rPr>
        <w:t>关于印发</w:t>
      </w:r>
      <w:r>
        <w:rPr>
          <w:rFonts w:hint="eastAsia" w:ascii="Times New Roman" w:hAnsi="仿宋" w:eastAsia="仿宋" w:cs="Times New Roman"/>
          <w:color w:val="000000" w:themeColor="text1"/>
          <w:sz w:val="32"/>
          <w:szCs w:val="32"/>
        </w:rPr>
        <w:t>〈国土</w:t>
      </w:r>
      <w:r>
        <w:rPr>
          <w:rFonts w:ascii="Times New Roman" w:hAnsi="仿宋" w:eastAsia="仿宋" w:cs="Times New Roman"/>
          <w:color w:val="000000" w:themeColor="text1"/>
          <w:sz w:val="32"/>
          <w:szCs w:val="32"/>
        </w:rPr>
        <w:t>空间调查、规划、用途管制用地用海分类指南（</w:t>
      </w:r>
      <w:r>
        <w:rPr>
          <w:rFonts w:hint="eastAsia" w:ascii="Times New Roman" w:hAnsi="仿宋" w:eastAsia="仿宋" w:cs="Times New Roman"/>
          <w:color w:val="000000" w:themeColor="text1"/>
          <w:sz w:val="32"/>
          <w:szCs w:val="32"/>
        </w:rPr>
        <w:t>试行</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&gt;》（自然资</w:t>
      </w:r>
      <w:r>
        <w:rPr>
          <w:rFonts w:ascii="Times New Roman" w:hAnsi="仿宋" w:eastAsia="仿宋" w:cs="Times New Roman"/>
          <w:color w:val="000000" w:themeColor="text1"/>
          <w:sz w:val="32"/>
          <w:szCs w:val="32"/>
        </w:rPr>
        <w:t>办发〔2020〕51</w:t>
      </w:r>
      <w:r>
        <w:rPr>
          <w:rFonts w:hint="eastAsia" w:ascii="Times New Roman" w:hAnsi="仿宋" w:eastAsia="仿宋" w:cs="Times New Roman"/>
          <w:color w:val="000000" w:themeColor="text1"/>
          <w:sz w:val="32"/>
          <w:szCs w:val="32"/>
        </w:rPr>
        <w:t>号）；</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4．《福建省</w:t>
      </w:r>
      <w:r>
        <w:rPr>
          <w:rFonts w:ascii="Times New Roman" w:hAnsi="仿宋" w:eastAsia="仿宋" w:cs="Times New Roman"/>
          <w:color w:val="000000" w:themeColor="text1"/>
          <w:sz w:val="32"/>
          <w:szCs w:val="32"/>
        </w:rPr>
        <w:t>自然资源厅关于印发</w:t>
      </w:r>
      <w:r>
        <w:rPr>
          <w:rFonts w:hint="eastAsia" w:ascii="Times New Roman" w:hAnsi="仿宋" w:eastAsia="仿宋" w:cs="Times New Roman"/>
          <w:color w:val="000000" w:themeColor="text1"/>
          <w:sz w:val="32"/>
          <w:szCs w:val="32"/>
        </w:rPr>
        <w:t>〈福建省</w:t>
      </w:r>
      <w:r>
        <w:rPr>
          <w:rFonts w:ascii="Times New Roman" w:hAnsi="仿宋" w:eastAsia="仿宋" w:cs="Times New Roman"/>
          <w:color w:val="000000" w:themeColor="text1"/>
          <w:sz w:val="32"/>
          <w:szCs w:val="32"/>
        </w:rPr>
        <w:t>土地征收成片开发</w:t>
      </w:r>
      <w:r>
        <w:rPr>
          <w:rFonts w:hint="eastAsia" w:ascii="Times New Roman" w:hAnsi="仿宋" w:eastAsia="仿宋" w:cs="Times New Roman"/>
          <w:color w:val="000000" w:themeColor="text1"/>
          <w:sz w:val="32"/>
          <w:szCs w:val="32"/>
        </w:rPr>
        <w:t>报批</w:t>
      </w:r>
      <w:r>
        <w:rPr>
          <w:rFonts w:ascii="Times New Roman" w:hAnsi="仿宋" w:eastAsia="仿宋" w:cs="Times New Roman"/>
          <w:color w:val="000000" w:themeColor="text1"/>
          <w:sz w:val="32"/>
          <w:szCs w:val="32"/>
        </w:rPr>
        <w:t>实施细则（</w:t>
      </w:r>
      <w:r>
        <w:rPr>
          <w:rFonts w:hint="eastAsia" w:ascii="Times New Roman" w:hAnsi="仿宋" w:eastAsia="仿宋" w:cs="Times New Roman"/>
          <w:color w:val="000000" w:themeColor="text1"/>
          <w:sz w:val="32"/>
          <w:szCs w:val="32"/>
        </w:rPr>
        <w:t>试行</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〉的</w:t>
      </w:r>
      <w:r>
        <w:rPr>
          <w:rFonts w:ascii="Times New Roman" w:hAnsi="仿宋" w:eastAsia="仿宋" w:cs="Times New Roman"/>
          <w:color w:val="000000" w:themeColor="text1"/>
          <w:sz w:val="32"/>
          <w:szCs w:val="32"/>
        </w:rPr>
        <w:t>通知</w:t>
      </w:r>
      <w:r>
        <w:rPr>
          <w:rFonts w:hint="eastAsia" w:ascii="Times New Roman" w:hAnsi="仿宋" w:eastAsia="仿宋" w:cs="Times New Roman"/>
          <w:color w:val="000000" w:themeColor="text1"/>
          <w:sz w:val="32"/>
          <w:szCs w:val="32"/>
        </w:rPr>
        <w:t>》（闽</w:t>
      </w:r>
      <w:r>
        <w:rPr>
          <w:rFonts w:ascii="Times New Roman" w:hAnsi="仿宋" w:eastAsia="仿宋" w:cs="Times New Roman"/>
          <w:color w:val="000000" w:themeColor="text1"/>
          <w:sz w:val="32"/>
          <w:szCs w:val="32"/>
        </w:rPr>
        <w:t>自然资源发〔2021〕3</w:t>
      </w:r>
      <w:r>
        <w:rPr>
          <w:rFonts w:hint="eastAsia" w:ascii="Times New Roman" w:hAnsi="仿宋" w:eastAsia="仿宋" w:cs="Times New Roman"/>
          <w:color w:val="000000" w:themeColor="text1"/>
          <w:sz w:val="32"/>
          <w:szCs w:val="32"/>
        </w:rPr>
        <w:t>号）</w:t>
      </w:r>
      <w:r>
        <w:rPr>
          <w:rFonts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5．《福建省自然资源厅关于印发〈福建省</w:t>
      </w:r>
      <w:r>
        <w:rPr>
          <w:rFonts w:ascii="Times New Roman" w:hAnsi="仿宋" w:eastAsia="仿宋" w:cs="Times New Roman"/>
          <w:color w:val="000000" w:themeColor="text1"/>
          <w:sz w:val="32"/>
          <w:szCs w:val="32"/>
        </w:rPr>
        <w:t>土地征收成片开发方案编制参考指南（</w:t>
      </w:r>
      <w:r>
        <w:rPr>
          <w:rFonts w:hint="eastAsia" w:ascii="Times New Roman" w:hAnsi="仿宋" w:eastAsia="仿宋" w:cs="Times New Roman"/>
          <w:color w:val="000000" w:themeColor="text1"/>
          <w:sz w:val="32"/>
          <w:szCs w:val="32"/>
        </w:rPr>
        <w:t>试行</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〉的通知》（闽自然资源发</w:t>
      </w:r>
      <w:r>
        <w:rPr>
          <w:rFonts w:ascii="Times New Roman" w:hAnsi="仿宋" w:eastAsia="仿宋" w:cs="Times New Roman"/>
          <w:color w:val="000000" w:themeColor="text1"/>
          <w:sz w:val="32"/>
          <w:szCs w:val="32"/>
        </w:rPr>
        <w:t>〔2021〕</w:t>
      </w:r>
      <w:r>
        <w:rPr>
          <w:rFonts w:hint="eastAsia" w:ascii="Times New Roman" w:hAnsi="仿宋" w:eastAsia="仿宋" w:cs="Times New Roman"/>
          <w:color w:val="000000" w:themeColor="text1"/>
          <w:sz w:val="32"/>
          <w:szCs w:val="32"/>
        </w:rPr>
        <w:t>6号）</w:t>
      </w:r>
      <w:r>
        <w:rPr>
          <w:rFonts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6．福建省</w:t>
      </w:r>
      <w:r>
        <w:rPr>
          <w:rFonts w:ascii="Times New Roman" w:hAnsi="仿宋" w:eastAsia="仿宋" w:cs="Times New Roman"/>
          <w:color w:val="000000" w:themeColor="text1"/>
          <w:sz w:val="32"/>
          <w:szCs w:val="32"/>
        </w:rPr>
        <w:t>自然资源厅</w:t>
      </w:r>
      <w:r>
        <w:rPr>
          <w:rFonts w:hint="eastAsia" w:ascii="Times New Roman" w:hAnsi="仿宋" w:eastAsia="仿宋" w:cs="Times New Roman"/>
          <w:color w:val="000000" w:themeColor="text1"/>
          <w:sz w:val="32"/>
          <w:szCs w:val="32"/>
        </w:rPr>
        <w:t>《关于进一步规范土地征收成片开发方案报批工作的通知》（2021年3月</w:t>
      </w:r>
      <w:r>
        <w:rPr>
          <w:rFonts w:ascii="Times New Roman" w:hAnsi="仿宋" w:eastAsia="仿宋" w:cs="Times New Roman"/>
          <w:color w:val="000000" w:themeColor="text1"/>
          <w:sz w:val="32"/>
          <w:szCs w:val="32"/>
        </w:rPr>
        <w:t>30</w:t>
      </w:r>
      <w:r>
        <w:rPr>
          <w:rFonts w:hint="eastAsia" w:ascii="Times New Roman" w:hAnsi="仿宋" w:eastAsia="仿宋" w:cs="Times New Roman"/>
          <w:color w:val="000000" w:themeColor="text1"/>
          <w:sz w:val="32"/>
          <w:szCs w:val="32"/>
        </w:rPr>
        <w:t>日）；</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7．《三明市国民经济和社会发展第十四个五年规划和二〇三五年远景目标纲要》；</w:t>
      </w:r>
    </w:p>
    <w:p>
      <w:pPr>
        <w:spacing w:line="360" w:lineRule="auto"/>
        <w:ind w:firstLine="640" w:firstLineChars="200"/>
        <w:rPr>
          <w:rFonts w:ascii="Times New Roman" w:hAnsi="仿宋" w:eastAsia="仿宋" w:cs="Times New Roman"/>
          <w:color w:val="000000" w:themeColor="text1"/>
          <w:sz w:val="32"/>
          <w:szCs w:val="32"/>
        </w:rPr>
      </w:pPr>
      <w:r>
        <w:rPr>
          <w:rFonts w:ascii="Times New Roman" w:hAnsi="仿宋" w:eastAsia="仿宋" w:cs="Times New Roman"/>
          <w:color w:val="000000" w:themeColor="text1"/>
          <w:sz w:val="32"/>
          <w:szCs w:val="32"/>
        </w:rPr>
        <w:t>8</w:t>
      </w:r>
      <w:r>
        <w:rPr>
          <w:rFonts w:hint="eastAsia" w:ascii="Times New Roman" w:hAnsi="仿宋" w:eastAsia="仿宋" w:cs="Times New Roman"/>
          <w:color w:val="000000" w:themeColor="text1"/>
          <w:sz w:val="32"/>
          <w:szCs w:val="32"/>
        </w:rPr>
        <w:t>．《三明市梅列区国民经济和社会发展第十四个五年规划和二〇三五年远景目标纲要》（征求</w:t>
      </w:r>
      <w:r>
        <w:rPr>
          <w:rFonts w:ascii="Times New Roman" w:hAnsi="仿宋" w:eastAsia="仿宋" w:cs="Times New Roman"/>
          <w:color w:val="000000" w:themeColor="text1"/>
          <w:sz w:val="32"/>
          <w:szCs w:val="32"/>
        </w:rPr>
        <w:t>意见稿</w:t>
      </w:r>
      <w:r>
        <w:rPr>
          <w:rFonts w:hint="eastAsia"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ascii="Times New Roman" w:hAnsi="仿宋" w:eastAsia="仿宋" w:cs="Times New Roman"/>
          <w:color w:val="000000" w:themeColor="text1"/>
          <w:sz w:val="32"/>
          <w:szCs w:val="32"/>
        </w:rPr>
        <w:t>9</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三明市</w:t>
      </w:r>
      <w:r>
        <w:rPr>
          <w:rFonts w:ascii="Times New Roman" w:hAnsi="仿宋" w:eastAsia="仿宋" w:cs="Times New Roman"/>
          <w:color w:val="000000" w:themeColor="text1"/>
          <w:sz w:val="32"/>
          <w:szCs w:val="32"/>
        </w:rPr>
        <w:t>土地利用总体规划</w:t>
      </w:r>
      <w:r>
        <w:rPr>
          <w:rFonts w:hint="eastAsia" w:ascii="Times New Roman" w:hAnsi="仿宋" w:eastAsia="仿宋" w:cs="Times New Roman"/>
          <w:color w:val="000000" w:themeColor="text1"/>
          <w:sz w:val="32"/>
          <w:szCs w:val="32"/>
        </w:rPr>
        <w:t>（2006-2020）</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0</w:t>
      </w:r>
      <w:r>
        <w:rPr>
          <w:rFonts w:hint="eastAsia" w:ascii="Times New Roman" w:hAnsi="仿宋" w:eastAsia="仿宋" w:cs="Times New Roman"/>
          <w:color w:val="000000" w:themeColor="text1"/>
          <w:sz w:val="32"/>
          <w:szCs w:val="32"/>
        </w:rPr>
        <w:t>．《三明市2021年国民经济和社会发展计划（草案）》；</w:t>
      </w:r>
    </w:p>
    <w:p>
      <w:pPr>
        <w:spacing w:line="360" w:lineRule="auto"/>
        <w:ind w:firstLine="640" w:firstLineChars="200"/>
        <w:rPr>
          <w:rFonts w:ascii="Times New Roman" w:hAnsi="仿宋" w:eastAsia="仿宋" w:cs="Times New Roman"/>
          <w:color w:val="000000" w:themeColor="text1"/>
          <w:sz w:val="32"/>
          <w:szCs w:val="32"/>
        </w:rPr>
      </w:pPr>
      <w:r>
        <w:rPr>
          <w:rFonts w:hint="eastAsia" w:hAnsi="仿宋" w:eastAsia="仿宋"/>
          <w:color w:val="000000" w:themeColor="text1"/>
          <w:sz w:val="32"/>
          <w:szCs w:val="32"/>
        </w:rPr>
        <w:t>1</w:t>
      </w:r>
      <w:r>
        <w:rPr>
          <w:rFonts w:hAnsi="仿宋" w:eastAsia="仿宋"/>
          <w:color w:val="000000" w:themeColor="text1"/>
          <w:sz w:val="32"/>
          <w:szCs w:val="32"/>
        </w:rPr>
        <w:t>1</w:t>
      </w:r>
      <w:r>
        <w:rPr>
          <w:rFonts w:hint="eastAsia" w:hAnsi="仿宋" w:eastAsia="仿宋"/>
          <w:color w:val="000000" w:themeColor="text1"/>
          <w:sz w:val="32"/>
          <w:szCs w:val="32"/>
        </w:rPr>
        <w:t>．</w:t>
      </w:r>
      <w:r>
        <w:rPr>
          <w:rFonts w:hint="eastAsia" w:ascii="Times New Roman" w:hAnsi="仿宋" w:eastAsia="仿宋" w:cs="Times New Roman"/>
          <w:color w:val="000000" w:themeColor="text1"/>
          <w:sz w:val="32"/>
          <w:szCs w:val="32"/>
        </w:rPr>
        <w:t>《三明市</w:t>
      </w:r>
      <w:r>
        <w:rPr>
          <w:rFonts w:ascii="Times New Roman" w:hAnsi="仿宋" w:eastAsia="仿宋" w:cs="Times New Roman"/>
          <w:color w:val="000000" w:themeColor="text1"/>
          <w:sz w:val="32"/>
          <w:szCs w:val="32"/>
        </w:rPr>
        <w:t>人民政府</w:t>
      </w:r>
      <w:r>
        <w:rPr>
          <w:rFonts w:hint="eastAsia" w:ascii="Times New Roman" w:hAnsi="仿宋" w:eastAsia="仿宋" w:cs="Times New Roman"/>
          <w:color w:val="000000" w:themeColor="text1"/>
          <w:sz w:val="32"/>
          <w:szCs w:val="32"/>
        </w:rPr>
        <w:t>办公室</w:t>
      </w:r>
      <w:r>
        <w:rPr>
          <w:rFonts w:ascii="Times New Roman" w:hAnsi="仿宋" w:eastAsia="仿宋" w:cs="Times New Roman"/>
          <w:color w:val="000000" w:themeColor="text1"/>
          <w:sz w:val="32"/>
          <w:szCs w:val="32"/>
        </w:rPr>
        <w:t>关于印发</w:t>
      </w:r>
      <w:r>
        <w:rPr>
          <w:rFonts w:hint="eastAsia" w:ascii="Times New Roman" w:hAnsi="仿宋" w:eastAsia="仿宋" w:cs="Times New Roman"/>
          <w:color w:val="000000" w:themeColor="text1"/>
          <w:sz w:val="32"/>
          <w:szCs w:val="32"/>
        </w:rPr>
        <w:t>〈三明市</w:t>
      </w:r>
      <w:r>
        <w:rPr>
          <w:rFonts w:ascii="Times New Roman" w:hAnsi="仿宋" w:eastAsia="仿宋" w:cs="Times New Roman"/>
          <w:color w:val="000000" w:themeColor="text1"/>
          <w:sz w:val="32"/>
          <w:szCs w:val="32"/>
        </w:rPr>
        <w:t>畅通产业循环市场</w:t>
      </w:r>
      <w:r>
        <w:rPr>
          <w:rFonts w:hint="eastAsia" w:ascii="Times New Roman" w:hAnsi="仿宋" w:eastAsia="仿宋" w:cs="Times New Roman"/>
          <w:color w:val="000000" w:themeColor="text1"/>
          <w:sz w:val="32"/>
          <w:szCs w:val="32"/>
        </w:rPr>
        <w:t>循环</w:t>
      </w:r>
      <w:r>
        <w:rPr>
          <w:rFonts w:ascii="Times New Roman" w:hAnsi="仿宋" w:eastAsia="仿宋" w:cs="Times New Roman"/>
          <w:color w:val="000000" w:themeColor="text1"/>
          <w:sz w:val="32"/>
          <w:szCs w:val="32"/>
        </w:rPr>
        <w:t>支持制造业企业加快发展十二条措施</w:t>
      </w:r>
      <w:r>
        <w:rPr>
          <w:rFonts w:hint="eastAsia" w:ascii="Times New Roman" w:hAnsi="仿宋" w:eastAsia="仿宋" w:cs="Times New Roman"/>
          <w:color w:val="000000" w:themeColor="text1"/>
          <w:sz w:val="32"/>
          <w:szCs w:val="32"/>
        </w:rPr>
        <w:t>〉》（明</w:t>
      </w:r>
      <w:r>
        <w:rPr>
          <w:rFonts w:ascii="Times New Roman" w:hAnsi="仿宋" w:eastAsia="仿宋" w:cs="Times New Roman"/>
          <w:color w:val="000000" w:themeColor="text1"/>
          <w:sz w:val="32"/>
          <w:szCs w:val="32"/>
        </w:rPr>
        <w:t>政办〔2020〕</w:t>
      </w:r>
      <w:r>
        <w:rPr>
          <w:rFonts w:hint="eastAsia" w:ascii="Times New Roman" w:hAnsi="仿宋" w:eastAsia="仿宋" w:cs="Times New Roman"/>
          <w:color w:val="000000" w:themeColor="text1"/>
          <w:sz w:val="32"/>
          <w:szCs w:val="32"/>
        </w:rPr>
        <w:t>40号）</w:t>
      </w:r>
      <w:r>
        <w:rPr>
          <w:rFonts w:ascii="Times New Roman" w:hAnsi="仿宋" w:eastAsia="仿宋" w:cs="Times New Roman"/>
          <w:color w:val="000000" w:themeColor="text1"/>
          <w:sz w:val="32"/>
          <w:szCs w:val="32"/>
        </w:rPr>
        <w:t>；</w:t>
      </w:r>
    </w:p>
    <w:p>
      <w:pPr>
        <w:pStyle w:val="2"/>
        <w:ind w:firstLine="640" w:firstLineChars="200"/>
        <w:rPr>
          <w:rFonts w:eastAsia="仿宋"/>
          <w:color w:val="000000" w:themeColor="text1"/>
        </w:rPr>
      </w:pPr>
      <w:r>
        <w:rPr>
          <w:rFonts w:hint="eastAsia" w:hAnsi="仿宋" w:eastAsia="仿宋"/>
          <w:color w:val="000000" w:themeColor="text1"/>
          <w:sz w:val="32"/>
          <w:szCs w:val="32"/>
        </w:rPr>
        <w:t>1</w:t>
      </w:r>
      <w:r>
        <w:rPr>
          <w:rFonts w:hAnsi="仿宋" w:eastAsia="仿宋"/>
          <w:color w:val="000000" w:themeColor="text1"/>
          <w:sz w:val="32"/>
          <w:szCs w:val="32"/>
        </w:rPr>
        <w:t>2</w:t>
      </w:r>
      <w:r>
        <w:rPr>
          <w:rFonts w:hint="eastAsia" w:hAnsi="仿宋" w:eastAsia="仿宋"/>
          <w:color w:val="000000" w:themeColor="text1"/>
          <w:sz w:val="32"/>
          <w:szCs w:val="32"/>
        </w:rPr>
        <w:t>．《三明市人民政府关于共建泉三高端装备产业园现场办公会的纪要》（市政府会议纪要〔2019〕28号）；</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3</w:t>
      </w:r>
      <w:r>
        <w:rPr>
          <w:rFonts w:hint="eastAsia" w:ascii="Times New Roman" w:hAnsi="仿宋" w:eastAsia="仿宋" w:cs="Times New Roman"/>
          <w:color w:val="000000" w:themeColor="text1"/>
          <w:sz w:val="32"/>
          <w:szCs w:val="32"/>
        </w:rPr>
        <w:t>．《中共梅列区委梅列区人民政府关于印发〈贯彻落实《国务院关于新时代支持革命老区振兴发展的意见》重点任务分工方案〉的通知》（梅委〔2021〕18 号）；</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4</w:t>
      </w:r>
      <w:r>
        <w:rPr>
          <w:rFonts w:hint="eastAsia" w:ascii="Times New Roman" w:hAnsi="仿宋" w:eastAsia="仿宋" w:cs="Times New Roman"/>
          <w:color w:val="000000" w:themeColor="text1"/>
          <w:sz w:val="32"/>
          <w:szCs w:val="32"/>
        </w:rPr>
        <w:t>．《福建省三明市梅列区铸造产业发展规划</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2020-2025</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5</w:t>
      </w:r>
      <w:r>
        <w:rPr>
          <w:rFonts w:hint="eastAsia" w:ascii="Times New Roman" w:hAnsi="仿宋" w:eastAsia="仿宋" w:cs="Times New Roman"/>
          <w:color w:val="000000" w:themeColor="text1"/>
          <w:sz w:val="32"/>
          <w:szCs w:val="32"/>
        </w:rPr>
        <w:t>．《梅列经济开发区高端装备铸造业产业发展规划（2018-2028）》；</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6</w:t>
      </w:r>
      <w:r>
        <w:rPr>
          <w:rFonts w:hint="eastAsia" w:ascii="Times New Roman" w:hAnsi="仿宋" w:eastAsia="仿宋" w:cs="Times New Roman"/>
          <w:color w:val="000000" w:themeColor="text1"/>
          <w:sz w:val="32"/>
          <w:szCs w:val="32"/>
        </w:rPr>
        <w:t>．《中共梅列区委办公室梅列区人民政府办公室印发〈关于推动工业产业高质量发展若干措施〉的通知》（梅委办发明电</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2021</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11号）；</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7</w:t>
      </w:r>
      <w:r>
        <w:rPr>
          <w:rFonts w:hint="eastAsia" w:ascii="Times New Roman" w:hAnsi="仿宋" w:eastAsia="仿宋" w:cs="Times New Roman"/>
          <w:color w:val="000000" w:themeColor="text1"/>
          <w:sz w:val="32"/>
          <w:szCs w:val="32"/>
        </w:rPr>
        <w:t>．《福建</w:t>
      </w:r>
      <w:r>
        <w:rPr>
          <w:rFonts w:ascii="Times New Roman" w:hAnsi="仿宋" w:eastAsia="仿宋" w:cs="Times New Roman"/>
          <w:color w:val="000000" w:themeColor="text1"/>
          <w:sz w:val="32"/>
          <w:szCs w:val="32"/>
        </w:rPr>
        <w:t>梅列经济开发区小蕉园区控制性详细规划</w:t>
      </w:r>
      <w:r>
        <w:rPr>
          <w:rFonts w:hint="eastAsia"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8</w:t>
      </w:r>
      <w:r>
        <w:rPr>
          <w:rFonts w:hint="eastAsia" w:ascii="Times New Roman" w:hAnsi="仿宋" w:eastAsia="仿宋" w:cs="Times New Roman"/>
          <w:color w:val="000000" w:themeColor="text1"/>
          <w:sz w:val="32"/>
          <w:szCs w:val="32"/>
        </w:rPr>
        <w:t>．三明市</w:t>
      </w:r>
      <w:r>
        <w:rPr>
          <w:rFonts w:ascii="Times New Roman" w:hAnsi="仿宋" w:eastAsia="仿宋" w:cs="Times New Roman"/>
          <w:color w:val="000000" w:themeColor="text1"/>
          <w:sz w:val="32"/>
          <w:szCs w:val="32"/>
        </w:rPr>
        <w:t>梅列区国土调查</w:t>
      </w:r>
      <w:r>
        <w:rPr>
          <w:rFonts w:hint="eastAsia" w:ascii="Times New Roman" w:hAnsi="仿宋" w:eastAsia="仿宋" w:cs="Times New Roman"/>
          <w:color w:val="000000" w:themeColor="text1"/>
          <w:sz w:val="32"/>
          <w:szCs w:val="32"/>
        </w:rPr>
        <w:t>2</w:t>
      </w:r>
      <w:r>
        <w:rPr>
          <w:rFonts w:ascii="Times New Roman" w:hAnsi="仿宋" w:eastAsia="仿宋" w:cs="Times New Roman"/>
          <w:color w:val="000000" w:themeColor="text1"/>
          <w:sz w:val="32"/>
          <w:szCs w:val="32"/>
        </w:rPr>
        <w:t>018</w:t>
      </w:r>
      <w:r>
        <w:rPr>
          <w:rFonts w:hint="eastAsia" w:ascii="Times New Roman" w:hAnsi="仿宋" w:eastAsia="仿宋" w:cs="Times New Roman"/>
          <w:color w:val="000000" w:themeColor="text1"/>
          <w:sz w:val="32"/>
          <w:szCs w:val="32"/>
        </w:rPr>
        <w:t>年年度</w:t>
      </w:r>
      <w:r>
        <w:rPr>
          <w:rFonts w:ascii="Times New Roman" w:hAnsi="仿宋" w:eastAsia="仿宋" w:cs="Times New Roman"/>
          <w:color w:val="000000" w:themeColor="text1"/>
          <w:sz w:val="32"/>
          <w:szCs w:val="32"/>
        </w:rPr>
        <w:t>变更成果、</w:t>
      </w:r>
      <w:r>
        <w:rPr>
          <w:rFonts w:hint="eastAsia" w:ascii="Times New Roman" w:hAnsi="仿宋" w:eastAsia="仿宋" w:cs="Times New Roman"/>
          <w:color w:val="000000" w:themeColor="text1"/>
          <w:sz w:val="32"/>
          <w:szCs w:val="32"/>
        </w:rPr>
        <w:t>三明市</w:t>
      </w:r>
      <w:r>
        <w:rPr>
          <w:rFonts w:ascii="Times New Roman" w:hAnsi="仿宋" w:eastAsia="仿宋" w:cs="Times New Roman"/>
          <w:color w:val="000000" w:themeColor="text1"/>
          <w:sz w:val="32"/>
          <w:szCs w:val="32"/>
        </w:rPr>
        <w:t>耕地质量等别数据库、</w:t>
      </w:r>
      <w:r>
        <w:rPr>
          <w:rFonts w:hint="eastAsia" w:ascii="Times New Roman" w:hAnsi="仿宋" w:eastAsia="仿宋" w:cs="Times New Roman"/>
          <w:color w:val="000000" w:themeColor="text1"/>
          <w:sz w:val="32"/>
          <w:szCs w:val="32"/>
        </w:rPr>
        <w:t>基本农田划定成果、生态保护红线、自然保护地、风景名胜区、森林公园、饮用水源地、公益林等各类法定保护区范围等；</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19．</w:t>
      </w:r>
      <w:r>
        <w:rPr>
          <w:rFonts w:ascii="Times New Roman" w:hAnsi="仿宋" w:eastAsia="仿宋" w:cs="Times New Roman"/>
          <w:color w:val="000000" w:themeColor="text1"/>
          <w:sz w:val="32"/>
          <w:szCs w:val="32"/>
        </w:rPr>
        <w:t>其他相关资料</w:t>
      </w:r>
      <w:r>
        <w:rPr>
          <w:rFonts w:hint="eastAsia" w:ascii="Times New Roman" w:hAnsi="仿宋" w:eastAsia="仿宋" w:cs="Times New Roman"/>
          <w:color w:val="000000" w:themeColor="text1"/>
          <w:sz w:val="32"/>
          <w:szCs w:val="32"/>
        </w:rPr>
        <w:t>。</w:t>
      </w:r>
    </w:p>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24" w:name="_Toc69511857"/>
      <w:bookmarkStart w:id="25" w:name="_Toc15388"/>
      <w:bookmarkStart w:id="26" w:name="_Toc69511822"/>
      <w:bookmarkStart w:id="27" w:name="_Toc69542944"/>
      <w:r>
        <w:rPr>
          <w:rFonts w:hint="eastAsia" w:ascii="Times New Roman" w:hAnsi="黑体" w:eastAsia="黑体" w:cs="Times New Roman"/>
          <w:b w:val="0"/>
          <w:color w:val="000000" w:themeColor="text1"/>
          <w:sz w:val="32"/>
          <w:szCs w:val="32"/>
        </w:rPr>
        <w:t>二</w:t>
      </w:r>
      <w:r>
        <w:rPr>
          <w:rFonts w:ascii="Times New Roman" w:hAnsi="黑体" w:eastAsia="黑体" w:cs="Times New Roman"/>
          <w:b w:val="0"/>
          <w:color w:val="000000" w:themeColor="text1"/>
          <w:sz w:val="32"/>
          <w:szCs w:val="32"/>
        </w:rPr>
        <w:t>、编制条件</w:t>
      </w:r>
      <w:bookmarkEnd w:id="24"/>
      <w:bookmarkEnd w:id="25"/>
      <w:bookmarkEnd w:id="26"/>
      <w:bookmarkEnd w:id="27"/>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28" w:name="_Toc26692"/>
      <w:bookmarkStart w:id="29" w:name="_Toc69511823"/>
      <w:bookmarkStart w:id="30" w:name="_Toc69511858"/>
      <w:bookmarkStart w:id="31" w:name="_Toc69542945"/>
      <w:r>
        <w:rPr>
          <w:rFonts w:hint="eastAsia" w:ascii="Times New Roman" w:hAnsi="Arial" w:eastAsia="黑体" w:cs="Times New Roman"/>
          <w:b w:val="0"/>
          <w:color w:val="000000" w:themeColor="text1"/>
          <w:kern w:val="2"/>
          <w:sz w:val="32"/>
          <w:szCs w:val="32"/>
        </w:rPr>
        <w:t>（一）批而未供土地和闲置土地情况</w:t>
      </w:r>
      <w:bookmarkEnd w:id="28"/>
      <w:bookmarkEnd w:id="29"/>
      <w:bookmarkEnd w:id="30"/>
      <w:bookmarkEnd w:id="31"/>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截至2021年3月底，三明市梅列区批而未供土地面积107.2公顷＜500公顷。2019年和2020年，三明市梅列区批而未供土地任务数分别为182.67公顷、136.67公顷，处置数分别为42.94公顷、29.69公顷，处置率分别为23.51%和21.7</w:t>
      </w:r>
      <w:r>
        <w:rPr>
          <w:rFonts w:ascii="Times New Roman" w:hAnsi="仿宋" w:eastAsia="仿宋" w:cs="Times New Roman"/>
          <w:color w:val="000000" w:themeColor="text1"/>
          <w:sz w:val="32"/>
          <w:szCs w:val="32"/>
        </w:rPr>
        <w:t>0</w:t>
      </w:r>
      <w:r>
        <w:rPr>
          <w:rFonts w:hint="eastAsia" w:ascii="Times New Roman" w:hAnsi="仿宋" w:eastAsia="仿宋" w:cs="Times New Roman"/>
          <w:color w:val="000000" w:themeColor="text1"/>
          <w:sz w:val="32"/>
          <w:szCs w:val="32"/>
        </w:rPr>
        <w:t>%，均已超过15%。</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截至2021年3月底，三明市梅列区闲置土地面积25.63公顷＜50 公顷。2019年三明市梅列区闲置土地任务数9.07公顷，处置数9.07公顷，处置率为100%，2020年无闲置土地，均已超过15%，符合《实施细则》的要求。</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32" w:name="_Toc31363"/>
      <w:bookmarkStart w:id="33" w:name="_Toc69542946"/>
      <w:bookmarkStart w:id="34" w:name="_Toc69511824"/>
      <w:bookmarkStart w:id="35" w:name="_Toc69511859"/>
      <w:r>
        <w:rPr>
          <w:rFonts w:hint="eastAsia" w:ascii="Times New Roman" w:hAnsi="Arial" w:eastAsia="黑体" w:cs="Times New Roman"/>
          <w:b w:val="0"/>
          <w:color w:val="000000" w:themeColor="text1"/>
          <w:kern w:val="2"/>
          <w:sz w:val="32"/>
          <w:szCs w:val="32"/>
        </w:rPr>
        <w:t>（二）开发区土地利用</w:t>
      </w:r>
      <w:r>
        <w:rPr>
          <w:rFonts w:ascii="Times New Roman" w:hAnsi="Arial" w:eastAsia="黑体" w:cs="Times New Roman"/>
          <w:b w:val="0"/>
          <w:color w:val="000000" w:themeColor="text1"/>
          <w:kern w:val="2"/>
          <w:sz w:val="32"/>
          <w:szCs w:val="32"/>
        </w:rPr>
        <w:t>效率情况</w:t>
      </w:r>
      <w:bookmarkEnd w:id="32"/>
      <w:bookmarkEnd w:id="33"/>
      <w:bookmarkEnd w:id="34"/>
      <w:bookmarkEnd w:id="35"/>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三明市梅列区仅有</w:t>
      </w:r>
      <w:r>
        <w:rPr>
          <w:rFonts w:ascii="Times New Roman" w:hAnsi="仿宋" w:eastAsia="仿宋" w:cs="Times New Roman"/>
          <w:color w:val="000000" w:themeColor="text1"/>
          <w:sz w:val="32"/>
          <w:szCs w:val="32"/>
        </w:rPr>
        <w:t>1</w:t>
      </w:r>
      <w:r>
        <w:rPr>
          <w:rFonts w:hint="eastAsia" w:ascii="Times New Roman" w:hAnsi="仿宋" w:eastAsia="仿宋" w:cs="Times New Roman"/>
          <w:color w:val="000000" w:themeColor="text1"/>
          <w:sz w:val="32"/>
          <w:szCs w:val="32"/>
        </w:rPr>
        <w:t>家省级开发区，即福建</w:t>
      </w:r>
      <w:r>
        <w:rPr>
          <w:rFonts w:ascii="Times New Roman" w:hAnsi="仿宋" w:eastAsia="仿宋" w:cs="Times New Roman"/>
          <w:color w:val="000000" w:themeColor="text1"/>
          <w:sz w:val="32"/>
          <w:szCs w:val="32"/>
        </w:rPr>
        <w:t>梅列经济</w:t>
      </w:r>
      <w:r>
        <w:rPr>
          <w:rFonts w:hint="eastAsia" w:ascii="Times New Roman" w:hAnsi="仿宋" w:eastAsia="仿宋" w:cs="Times New Roman"/>
          <w:color w:val="000000" w:themeColor="text1"/>
          <w:sz w:val="32"/>
          <w:szCs w:val="32"/>
        </w:rPr>
        <w:t>开发区，</w:t>
      </w:r>
      <w:r>
        <w:rPr>
          <w:rFonts w:ascii="Times New Roman" w:hAnsi="仿宋" w:eastAsia="仿宋" w:cs="Times New Roman"/>
          <w:color w:val="000000" w:themeColor="text1"/>
          <w:sz w:val="32"/>
          <w:szCs w:val="32"/>
        </w:rPr>
        <w:t>2018</w:t>
      </w:r>
      <w:r>
        <w:rPr>
          <w:rFonts w:hint="eastAsia" w:ascii="Times New Roman" w:hAnsi="仿宋" w:eastAsia="仿宋" w:cs="Times New Roman"/>
          <w:color w:val="000000" w:themeColor="text1"/>
          <w:sz w:val="32"/>
          <w:szCs w:val="32"/>
        </w:rPr>
        <w:t>年全省开发区土地集约利用评价排名第</w:t>
      </w:r>
      <w:r>
        <w:rPr>
          <w:rFonts w:ascii="Times New Roman" w:hAnsi="仿宋" w:eastAsia="仿宋" w:cs="Times New Roman"/>
          <w:color w:val="000000" w:themeColor="text1"/>
          <w:sz w:val="32"/>
          <w:szCs w:val="32"/>
        </w:rPr>
        <w:t>40</w:t>
      </w:r>
      <w:r>
        <w:rPr>
          <w:rFonts w:hint="eastAsia" w:ascii="Times New Roman" w:hAnsi="仿宋" w:eastAsia="仿宋" w:cs="Times New Roman"/>
          <w:color w:val="000000" w:themeColor="text1"/>
          <w:sz w:val="32"/>
          <w:szCs w:val="32"/>
        </w:rPr>
        <w:t>名（共</w:t>
      </w:r>
      <w:r>
        <w:rPr>
          <w:rFonts w:ascii="Times New Roman" w:hAnsi="仿宋" w:eastAsia="仿宋" w:cs="Times New Roman"/>
          <w:color w:val="000000" w:themeColor="text1"/>
          <w:sz w:val="32"/>
          <w:szCs w:val="32"/>
        </w:rPr>
        <w:t>64</w:t>
      </w:r>
      <w:r>
        <w:rPr>
          <w:rFonts w:hint="eastAsia" w:ascii="Times New Roman" w:hAnsi="仿宋" w:eastAsia="仿宋" w:cs="Times New Roman"/>
          <w:color w:val="000000" w:themeColor="text1"/>
          <w:sz w:val="32"/>
          <w:szCs w:val="32"/>
        </w:rPr>
        <w:t>家</w:t>
      </w:r>
      <w:r>
        <w:rPr>
          <w:rFonts w:ascii="Times New Roman" w:hAnsi="仿宋" w:eastAsia="仿宋" w:cs="Times New Roman"/>
          <w:color w:val="000000" w:themeColor="text1"/>
          <w:sz w:val="32"/>
          <w:szCs w:val="32"/>
        </w:rPr>
        <w:t>参评</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 xml:space="preserve">2019 </w:t>
      </w:r>
      <w:r>
        <w:rPr>
          <w:rFonts w:hint="eastAsia" w:ascii="Times New Roman" w:hAnsi="仿宋" w:eastAsia="仿宋" w:cs="Times New Roman"/>
          <w:color w:val="000000" w:themeColor="text1"/>
          <w:sz w:val="32"/>
          <w:szCs w:val="32"/>
        </w:rPr>
        <w:t>年排名第</w:t>
      </w:r>
      <w:r>
        <w:rPr>
          <w:rFonts w:ascii="Times New Roman" w:hAnsi="仿宋" w:eastAsia="仿宋" w:cs="Times New Roman"/>
          <w:color w:val="000000" w:themeColor="text1"/>
          <w:sz w:val="32"/>
          <w:szCs w:val="32"/>
        </w:rPr>
        <w:t>40</w:t>
      </w:r>
      <w:r>
        <w:rPr>
          <w:rFonts w:hint="eastAsia" w:ascii="Times New Roman" w:hAnsi="仿宋" w:eastAsia="仿宋" w:cs="Times New Roman"/>
          <w:color w:val="000000" w:themeColor="text1"/>
          <w:sz w:val="32"/>
          <w:szCs w:val="32"/>
        </w:rPr>
        <w:t>名</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共</w:t>
      </w:r>
      <w:r>
        <w:rPr>
          <w:rFonts w:ascii="Times New Roman" w:hAnsi="仿宋" w:eastAsia="仿宋" w:cs="Times New Roman"/>
          <w:color w:val="000000" w:themeColor="text1"/>
          <w:sz w:val="32"/>
          <w:szCs w:val="32"/>
        </w:rPr>
        <w:t>66</w:t>
      </w:r>
      <w:r>
        <w:rPr>
          <w:rFonts w:hint="eastAsia" w:ascii="Times New Roman" w:hAnsi="仿宋" w:eastAsia="仿宋" w:cs="Times New Roman"/>
          <w:color w:val="000000" w:themeColor="text1"/>
          <w:sz w:val="32"/>
          <w:szCs w:val="32"/>
        </w:rPr>
        <w:t>家</w:t>
      </w:r>
      <w:r>
        <w:rPr>
          <w:rFonts w:ascii="Times New Roman" w:hAnsi="仿宋" w:eastAsia="仿宋" w:cs="Times New Roman"/>
          <w:color w:val="000000" w:themeColor="text1"/>
          <w:sz w:val="32"/>
          <w:szCs w:val="32"/>
        </w:rPr>
        <w:t>参评）</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 xml:space="preserve"> 2020 </w:t>
      </w:r>
      <w:r>
        <w:rPr>
          <w:rFonts w:hint="eastAsia" w:ascii="Times New Roman" w:hAnsi="仿宋" w:eastAsia="仿宋" w:cs="Times New Roman"/>
          <w:color w:val="000000" w:themeColor="text1"/>
          <w:sz w:val="32"/>
          <w:szCs w:val="32"/>
        </w:rPr>
        <w:t>年排名第35名（共93家参评）；均不属于连续三年排在全省后三名的情况，符合《实施细则》的要求。</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36" w:name="_Toc69511860"/>
      <w:bookmarkStart w:id="37" w:name="_Toc69542947"/>
      <w:bookmarkStart w:id="38" w:name="_Toc400"/>
      <w:bookmarkStart w:id="39" w:name="_Toc69511825"/>
      <w:r>
        <w:rPr>
          <w:rFonts w:hint="eastAsia" w:ascii="Times New Roman" w:hAnsi="Arial" w:eastAsia="黑体" w:cs="Times New Roman"/>
          <w:b w:val="0"/>
          <w:color w:val="000000" w:themeColor="text1"/>
          <w:kern w:val="2"/>
          <w:sz w:val="32"/>
          <w:szCs w:val="32"/>
        </w:rPr>
        <w:t>（三）已批准土地征收成片开发方案实施情况</w:t>
      </w:r>
      <w:bookmarkEnd w:id="36"/>
      <w:bookmarkEnd w:id="37"/>
      <w:bookmarkEnd w:id="38"/>
      <w:bookmarkEnd w:id="39"/>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梅列</w:t>
      </w:r>
      <w:r>
        <w:rPr>
          <w:rFonts w:ascii="Times New Roman" w:hAnsi="仿宋" w:eastAsia="仿宋" w:cs="Times New Roman"/>
          <w:color w:val="000000" w:themeColor="text1"/>
          <w:sz w:val="32"/>
          <w:szCs w:val="32"/>
        </w:rPr>
        <w:t>区</w:t>
      </w:r>
      <w:r>
        <w:rPr>
          <w:rFonts w:hint="eastAsia" w:ascii="Times New Roman" w:hAnsi="仿宋" w:eastAsia="仿宋" w:cs="Times New Roman"/>
          <w:color w:val="000000" w:themeColor="text1"/>
          <w:sz w:val="32"/>
          <w:szCs w:val="32"/>
        </w:rPr>
        <w:t>至今尚无已批准的土地征收成片开发方案。</w:t>
      </w:r>
    </w:p>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40" w:name="_Toc69511826"/>
      <w:bookmarkStart w:id="41" w:name="_Toc61613921"/>
      <w:bookmarkStart w:id="42" w:name="_Toc69511861"/>
      <w:bookmarkStart w:id="43" w:name="_Toc61179719"/>
      <w:bookmarkStart w:id="44" w:name="_Toc69542948"/>
      <w:bookmarkStart w:id="45" w:name="_Toc27965"/>
      <w:r>
        <w:rPr>
          <w:rFonts w:hint="eastAsia" w:ascii="Times New Roman" w:hAnsi="黑体" w:eastAsia="黑体" w:cs="Times New Roman"/>
          <w:b w:val="0"/>
          <w:color w:val="000000" w:themeColor="text1"/>
          <w:sz w:val="32"/>
          <w:szCs w:val="32"/>
        </w:rPr>
        <w:t>三、基本情况</w:t>
      </w:r>
      <w:bookmarkEnd w:id="40"/>
      <w:bookmarkEnd w:id="41"/>
      <w:bookmarkEnd w:id="42"/>
      <w:bookmarkEnd w:id="43"/>
      <w:bookmarkEnd w:id="44"/>
      <w:bookmarkEnd w:id="45"/>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46" w:name="_Toc61179720"/>
      <w:bookmarkStart w:id="47" w:name="_Toc14630"/>
      <w:bookmarkStart w:id="48" w:name="_Toc69511827"/>
      <w:bookmarkStart w:id="49" w:name="_Toc69542949"/>
      <w:bookmarkStart w:id="50" w:name="_Toc69511862"/>
      <w:r>
        <w:rPr>
          <w:rFonts w:hint="eastAsia" w:ascii="Times New Roman" w:hAnsi="Arial" w:eastAsia="黑体" w:cs="Times New Roman"/>
          <w:b w:val="0"/>
          <w:color w:val="000000" w:themeColor="text1"/>
          <w:kern w:val="2"/>
          <w:sz w:val="32"/>
          <w:szCs w:val="32"/>
        </w:rPr>
        <w:t>（一）成片开发位置</w:t>
      </w:r>
      <w:bookmarkEnd w:id="46"/>
      <w:r>
        <w:rPr>
          <w:rFonts w:hint="eastAsia" w:ascii="Times New Roman" w:hAnsi="Arial" w:eastAsia="黑体" w:cs="Times New Roman"/>
          <w:b w:val="0"/>
          <w:color w:val="000000" w:themeColor="text1"/>
          <w:kern w:val="2"/>
          <w:sz w:val="32"/>
          <w:szCs w:val="32"/>
        </w:rPr>
        <w:t>、范围、面积</w:t>
      </w:r>
      <w:bookmarkEnd w:id="47"/>
      <w:bookmarkEnd w:id="48"/>
      <w:bookmarkEnd w:id="49"/>
      <w:bookmarkEnd w:id="50"/>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本方案涉及三明市</w:t>
      </w:r>
      <w:r>
        <w:rPr>
          <w:rFonts w:ascii="Times New Roman" w:hAnsi="仿宋" w:eastAsia="仿宋" w:cs="Times New Roman"/>
          <w:color w:val="000000" w:themeColor="text1"/>
          <w:sz w:val="32"/>
          <w:szCs w:val="32"/>
        </w:rPr>
        <w:t>梅列区</w:t>
      </w:r>
      <w:r>
        <w:rPr>
          <w:rFonts w:hint="eastAsia" w:ascii="Times New Roman" w:hAnsi="仿宋" w:eastAsia="仿宋" w:cs="Times New Roman"/>
          <w:color w:val="000000" w:themeColor="text1"/>
          <w:sz w:val="32"/>
          <w:szCs w:val="32"/>
        </w:rPr>
        <w:t>列西</w:t>
      </w:r>
      <w:r>
        <w:rPr>
          <w:rFonts w:ascii="Times New Roman" w:hAnsi="仿宋" w:eastAsia="仿宋" w:cs="Times New Roman"/>
          <w:color w:val="000000" w:themeColor="text1"/>
          <w:sz w:val="32"/>
          <w:szCs w:val="32"/>
        </w:rPr>
        <w:t>街道</w:t>
      </w:r>
      <w:r>
        <w:rPr>
          <w:rFonts w:hint="eastAsia" w:ascii="Times New Roman" w:hAnsi="仿宋" w:eastAsia="仿宋" w:cs="Times New Roman"/>
          <w:color w:val="000000" w:themeColor="text1"/>
          <w:sz w:val="32"/>
          <w:szCs w:val="32"/>
        </w:rPr>
        <w:t>小蕉村、陈大镇</w:t>
      </w:r>
      <w:r>
        <w:rPr>
          <w:rFonts w:ascii="Times New Roman" w:hAnsi="仿宋" w:eastAsia="仿宋" w:cs="Times New Roman"/>
          <w:color w:val="000000" w:themeColor="text1"/>
          <w:sz w:val="32"/>
          <w:szCs w:val="32"/>
        </w:rPr>
        <w:t>台溪村，</w:t>
      </w:r>
      <w:r>
        <w:rPr>
          <w:rFonts w:hint="eastAsia" w:ascii="Times New Roman" w:hAnsi="仿宋" w:eastAsia="仿宋" w:cs="Times New Roman"/>
          <w:color w:val="000000" w:themeColor="text1"/>
          <w:sz w:val="32"/>
          <w:szCs w:val="32"/>
        </w:rPr>
        <w:t>共</w:t>
      </w:r>
      <w:r>
        <w:rPr>
          <w:rFonts w:ascii="Times New Roman" w:hAnsi="仿宋" w:eastAsia="仿宋" w:cs="Times New Roman"/>
          <w:color w:val="000000" w:themeColor="text1"/>
          <w:sz w:val="32"/>
          <w:szCs w:val="32"/>
        </w:rPr>
        <w:t>1</w:t>
      </w:r>
      <w:r>
        <w:rPr>
          <w:rFonts w:hint="eastAsia" w:ascii="Times New Roman" w:hAnsi="仿宋" w:eastAsia="仿宋" w:cs="Times New Roman"/>
          <w:color w:val="000000" w:themeColor="text1"/>
          <w:sz w:val="32"/>
          <w:szCs w:val="32"/>
        </w:rPr>
        <w:t>个街道1个</w:t>
      </w:r>
      <w:r>
        <w:rPr>
          <w:rFonts w:ascii="Times New Roman" w:hAnsi="仿宋" w:eastAsia="仿宋" w:cs="Times New Roman"/>
          <w:color w:val="000000" w:themeColor="text1"/>
          <w:sz w:val="32"/>
          <w:szCs w:val="32"/>
        </w:rPr>
        <w:t>镇2</w:t>
      </w:r>
      <w:r>
        <w:rPr>
          <w:rFonts w:hint="eastAsia" w:ascii="Times New Roman" w:hAnsi="仿宋" w:eastAsia="仿宋" w:cs="Times New Roman"/>
          <w:color w:val="000000" w:themeColor="text1"/>
          <w:sz w:val="32"/>
          <w:szCs w:val="32"/>
        </w:rPr>
        <w:t>个村；涉及三明市台江国有林场、三明市瑞云新区建设发展有限公司</w:t>
      </w:r>
      <w:r>
        <w:rPr>
          <w:rFonts w:ascii="Times New Roman" w:hAnsi="仿宋" w:eastAsia="仿宋" w:cs="Times New Roman"/>
          <w:color w:val="000000" w:themeColor="text1"/>
          <w:sz w:val="32"/>
          <w:szCs w:val="32"/>
        </w:rPr>
        <w:t>2</w:t>
      </w:r>
      <w:r>
        <w:rPr>
          <w:rFonts w:hint="eastAsia" w:ascii="Times New Roman" w:hAnsi="仿宋" w:eastAsia="仿宋" w:cs="Times New Roman"/>
          <w:color w:val="000000" w:themeColor="text1"/>
          <w:sz w:val="32"/>
          <w:szCs w:val="32"/>
        </w:rPr>
        <w:t>个国有单位，位于福建梅列经济开发区省级开发区。</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根据实地勘测调查，本方案成片开发范围总面积</w:t>
      </w:r>
      <w:r>
        <w:rPr>
          <w:rFonts w:ascii="Times New Roman" w:hAnsi="仿宋" w:eastAsia="仿宋" w:cs="Times New Roman"/>
          <w:color w:val="000000" w:themeColor="text1"/>
          <w:sz w:val="32"/>
          <w:szCs w:val="32"/>
        </w:rPr>
        <w:t>69.6137</w:t>
      </w:r>
      <w:r>
        <w:rPr>
          <w:rFonts w:hint="eastAsia" w:ascii="Times New Roman" w:hAnsi="仿宋" w:eastAsia="仿宋" w:cs="Times New Roman"/>
          <w:color w:val="000000" w:themeColor="text1"/>
          <w:sz w:val="32"/>
          <w:szCs w:val="32"/>
        </w:rPr>
        <w:t>公顷</w:t>
      </w:r>
      <w:r>
        <w:rPr>
          <w:rFonts w:ascii="Times New Roman" w:hAnsi="仿宋" w:eastAsia="仿宋" w:cs="Times New Roman"/>
          <w:color w:val="000000" w:themeColor="text1"/>
          <w:sz w:val="32"/>
          <w:szCs w:val="32"/>
        </w:rPr>
        <w:t>，其中</w:t>
      </w:r>
      <w:r>
        <w:rPr>
          <w:rFonts w:hint="eastAsia" w:ascii="Times New Roman" w:hAnsi="仿宋" w:eastAsia="仿宋" w:cs="Times New Roman"/>
          <w:color w:val="000000" w:themeColor="text1"/>
          <w:sz w:val="32"/>
          <w:szCs w:val="32"/>
        </w:rPr>
        <w:t>：农用地</w:t>
      </w:r>
      <w:r>
        <w:rPr>
          <w:rFonts w:ascii="Times New Roman" w:hAnsi="仿宋" w:eastAsia="仿宋" w:cs="Times New Roman"/>
          <w:color w:val="000000" w:themeColor="text1"/>
          <w:sz w:val="32"/>
          <w:szCs w:val="32"/>
        </w:rPr>
        <w:t>54.9348</w:t>
      </w:r>
      <w:r>
        <w:rPr>
          <w:rFonts w:hint="eastAsia" w:ascii="Times New Roman" w:hAnsi="仿宋" w:eastAsia="仿宋" w:cs="Times New Roman"/>
          <w:color w:val="000000" w:themeColor="text1"/>
          <w:sz w:val="32"/>
          <w:szCs w:val="32"/>
        </w:rPr>
        <w:t>公顷（耕地0</w:t>
      </w:r>
      <w:r>
        <w:rPr>
          <w:rFonts w:ascii="Times New Roman" w:hAnsi="仿宋" w:eastAsia="仿宋" w:cs="Times New Roman"/>
          <w:color w:val="000000" w:themeColor="text1"/>
          <w:sz w:val="32"/>
          <w:szCs w:val="32"/>
        </w:rPr>
        <w:t>.1034</w:t>
      </w:r>
      <w:r>
        <w:rPr>
          <w:rFonts w:hint="eastAsia" w:ascii="Times New Roman" w:hAnsi="仿宋" w:eastAsia="仿宋" w:cs="Times New Roman"/>
          <w:color w:val="000000" w:themeColor="text1"/>
          <w:sz w:val="32"/>
          <w:szCs w:val="32"/>
        </w:rPr>
        <w:t>公顷）；建设用地面积约为</w:t>
      </w:r>
      <w:r>
        <w:rPr>
          <w:rFonts w:ascii="Times New Roman" w:hAnsi="仿宋" w:eastAsia="仿宋" w:cs="Times New Roman"/>
          <w:color w:val="000000" w:themeColor="text1"/>
          <w:sz w:val="32"/>
          <w:szCs w:val="32"/>
        </w:rPr>
        <w:t>13.7108</w:t>
      </w:r>
      <w:r>
        <w:rPr>
          <w:rFonts w:hint="eastAsia" w:ascii="Times New Roman" w:hAnsi="仿宋" w:eastAsia="仿宋" w:cs="Times New Roman"/>
          <w:color w:val="000000" w:themeColor="text1"/>
          <w:sz w:val="32"/>
          <w:szCs w:val="32"/>
        </w:rPr>
        <w:t>公顷；未利用地面积约为</w:t>
      </w:r>
      <w:r>
        <w:rPr>
          <w:rFonts w:ascii="Times New Roman" w:hAnsi="仿宋" w:eastAsia="仿宋" w:cs="Times New Roman"/>
          <w:color w:val="000000" w:themeColor="text1"/>
          <w:sz w:val="32"/>
          <w:szCs w:val="32"/>
        </w:rPr>
        <w:t>0.9681</w:t>
      </w:r>
      <w:r>
        <w:rPr>
          <w:rFonts w:hint="eastAsia" w:ascii="Times New Roman" w:hAnsi="仿宋" w:eastAsia="仿宋" w:cs="Times New Roman"/>
          <w:color w:val="000000" w:themeColor="text1"/>
          <w:sz w:val="32"/>
          <w:szCs w:val="32"/>
        </w:rPr>
        <w:t>公顷。</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51" w:name="_Toc61179722"/>
      <w:bookmarkStart w:id="52" w:name="_Toc69542950"/>
      <w:bookmarkStart w:id="53" w:name="_Toc69511863"/>
      <w:bookmarkStart w:id="54" w:name="_Toc69511828"/>
      <w:bookmarkStart w:id="55" w:name="_Toc13390"/>
      <w:r>
        <w:rPr>
          <w:rFonts w:hint="eastAsia" w:ascii="Times New Roman" w:hAnsi="Arial" w:eastAsia="黑体" w:cs="Times New Roman"/>
          <w:b w:val="0"/>
          <w:color w:val="000000" w:themeColor="text1"/>
          <w:kern w:val="2"/>
          <w:sz w:val="32"/>
          <w:szCs w:val="32"/>
        </w:rPr>
        <w:t>（二）现状基础设施条件</w:t>
      </w:r>
      <w:bookmarkEnd w:id="51"/>
      <w:bookmarkEnd w:id="52"/>
      <w:bookmarkEnd w:id="53"/>
      <w:bookmarkEnd w:id="54"/>
      <w:bookmarkEnd w:id="55"/>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道路交通现状</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（1）公路</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园区交通便利，现有新城大道连接园区长深高速、国道205线三明市区过境线、三钢专用线。长深高速南通泉州，北往三明市区，</w:t>
      </w:r>
      <w:r>
        <w:rPr>
          <w:rFonts w:ascii="Times New Roman" w:hAnsi="仿宋" w:eastAsia="仿宋" w:cs="Times New Roman"/>
          <w:color w:val="000000" w:themeColor="text1"/>
          <w:sz w:val="32"/>
          <w:szCs w:val="32"/>
        </w:rPr>
        <w:t>片区距南侧</w:t>
      </w:r>
      <w:r>
        <w:rPr>
          <w:rFonts w:hint="eastAsia" w:ascii="Times New Roman" w:hAnsi="仿宋" w:eastAsia="仿宋" w:cs="Times New Roman"/>
          <w:color w:val="000000" w:themeColor="text1"/>
          <w:sz w:val="32"/>
          <w:szCs w:val="32"/>
        </w:rPr>
        <w:t>高速</w:t>
      </w:r>
      <w:r>
        <w:rPr>
          <w:rFonts w:ascii="Times New Roman" w:hAnsi="仿宋" w:eastAsia="仿宋" w:cs="Times New Roman"/>
          <w:color w:val="000000" w:themeColor="text1"/>
          <w:sz w:val="32"/>
          <w:szCs w:val="32"/>
        </w:rPr>
        <w:t>互通口仅3</w:t>
      </w:r>
      <w:r>
        <w:rPr>
          <w:rFonts w:hint="eastAsia" w:ascii="Times New Roman" w:hAnsi="仿宋" w:eastAsia="仿宋" w:cs="Times New Roman"/>
          <w:color w:val="000000" w:themeColor="text1"/>
          <w:sz w:val="32"/>
          <w:szCs w:val="32"/>
        </w:rPr>
        <w:t>公里，距北侧高速互通口15公里；国道205线三明市区过境线南往台江，北往翁墩，距市中心10公里，对外交通系统较为完善。</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（2）铁路</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园区南侧现有鹰厦铁路，北起江西鹰潭市、南至福建省厦门市，是中国东南部地区重要的铁路干线，园区距鹰厦铁路三元铁路货运站约5公里；</w:t>
      </w:r>
      <w:r>
        <w:rPr>
          <w:rFonts w:ascii="Times New Roman" w:hAnsi="仿宋" w:eastAsia="仿宋" w:cs="Times New Roman"/>
          <w:color w:val="000000" w:themeColor="text1"/>
          <w:sz w:val="32"/>
          <w:szCs w:val="32"/>
        </w:rPr>
        <w:t>向莆</w:t>
      </w:r>
      <w:r>
        <w:rPr>
          <w:rFonts w:hint="eastAsia" w:ascii="Times New Roman" w:hAnsi="仿宋" w:eastAsia="仿宋" w:cs="Times New Roman"/>
          <w:color w:val="000000" w:themeColor="text1"/>
          <w:sz w:val="32"/>
          <w:szCs w:val="32"/>
        </w:rPr>
        <w:t>（江西</w:t>
      </w:r>
      <w:r>
        <w:rPr>
          <w:rFonts w:ascii="Times New Roman" w:hAnsi="仿宋" w:eastAsia="仿宋" w:cs="Times New Roman"/>
          <w:color w:val="000000" w:themeColor="text1"/>
          <w:sz w:val="32"/>
          <w:szCs w:val="32"/>
        </w:rPr>
        <w:t>向塘</w:t>
      </w:r>
      <w:r>
        <w:rPr>
          <w:rFonts w:hint="eastAsia" w:ascii="Times New Roman" w:hAnsi="仿宋" w:eastAsia="仿宋" w:cs="Times New Roman"/>
          <w:color w:val="000000" w:themeColor="text1"/>
          <w:sz w:val="32"/>
          <w:szCs w:val="32"/>
        </w:rPr>
        <w:t>－福建</w:t>
      </w:r>
      <w:r>
        <w:rPr>
          <w:rFonts w:ascii="Times New Roman" w:hAnsi="仿宋" w:eastAsia="仿宋" w:cs="Times New Roman"/>
          <w:color w:val="000000" w:themeColor="text1"/>
          <w:sz w:val="32"/>
          <w:szCs w:val="32"/>
        </w:rPr>
        <w:t>莆田</w:t>
      </w:r>
      <w:r>
        <w:rPr>
          <w:rFonts w:hint="eastAsia" w:ascii="Times New Roman" w:hAnsi="仿宋" w:eastAsia="仿宋" w:cs="Times New Roman"/>
          <w:color w:val="000000" w:themeColor="text1"/>
          <w:sz w:val="32"/>
          <w:szCs w:val="32"/>
        </w:rPr>
        <w:t>）高速铁路</w:t>
      </w:r>
      <w:r>
        <w:rPr>
          <w:rFonts w:ascii="Times New Roman" w:hAnsi="仿宋" w:eastAsia="仿宋" w:cs="Times New Roman"/>
          <w:color w:val="000000" w:themeColor="text1"/>
          <w:sz w:val="32"/>
          <w:szCs w:val="32"/>
        </w:rPr>
        <w:t>已建成通车，设有三明北站（</w:t>
      </w:r>
      <w:r>
        <w:rPr>
          <w:rFonts w:hint="eastAsia" w:ascii="Times New Roman" w:hAnsi="仿宋" w:eastAsia="仿宋" w:cs="Times New Roman"/>
          <w:color w:val="000000" w:themeColor="text1"/>
          <w:sz w:val="32"/>
          <w:szCs w:val="32"/>
        </w:rPr>
        <w:t>沙县</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南三龙（</w:t>
      </w:r>
      <w:r>
        <w:rPr>
          <w:rFonts w:hint="eastAsia" w:ascii="Times New Roman" w:hAnsi="仿宋" w:eastAsia="仿宋" w:cs="Times New Roman"/>
          <w:color w:val="000000" w:themeColor="text1"/>
          <w:sz w:val="32"/>
          <w:szCs w:val="32"/>
        </w:rPr>
        <w:t>南平－三明－龙岩</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城际铁路</w:t>
      </w:r>
      <w:r>
        <w:rPr>
          <w:rFonts w:ascii="Times New Roman" w:hAnsi="仿宋" w:eastAsia="仿宋" w:cs="Times New Roman"/>
          <w:color w:val="000000" w:themeColor="text1"/>
          <w:sz w:val="32"/>
          <w:szCs w:val="32"/>
        </w:rPr>
        <w:t>在三明市境内设站三明北（</w:t>
      </w:r>
      <w:r>
        <w:rPr>
          <w:rFonts w:hint="eastAsia" w:ascii="Times New Roman" w:hAnsi="仿宋" w:eastAsia="仿宋" w:cs="Times New Roman"/>
          <w:color w:val="000000" w:themeColor="text1"/>
          <w:sz w:val="32"/>
          <w:szCs w:val="32"/>
        </w:rPr>
        <w:t>沙县</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三明站等</w:t>
      </w:r>
      <w:r>
        <w:rPr>
          <w:rFonts w:hint="eastAsia" w:ascii="Times New Roman" w:hAnsi="仿宋" w:eastAsia="仿宋" w:cs="Times New Roman"/>
          <w:color w:val="000000" w:themeColor="text1"/>
          <w:sz w:val="32"/>
          <w:szCs w:val="32"/>
        </w:rPr>
        <w:t>2个</w:t>
      </w:r>
      <w:r>
        <w:rPr>
          <w:rFonts w:ascii="Times New Roman" w:hAnsi="仿宋" w:eastAsia="仿宋" w:cs="Times New Roman"/>
          <w:color w:val="000000" w:themeColor="text1"/>
          <w:sz w:val="32"/>
          <w:szCs w:val="32"/>
        </w:rPr>
        <w:t>站，</w:t>
      </w:r>
      <w:r>
        <w:rPr>
          <w:rFonts w:hint="eastAsia" w:ascii="Times New Roman" w:hAnsi="仿宋" w:eastAsia="仿宋" w:cs="Times New Roman"/>
          <w:color w:val="000000" w:themeColor="text1"/>
          <w:sz w:val="32"/>
          <w:szCs w:val="32"/>
        </w:rPr>
        <w:t>园区</w:t>
      </w:r>
      <w:r>
        <w:rPr>
          <w:rFonts w:ascii="Times New Roman" w:hAnsi="仿宋" w:eastAsia="仿宋" w:cs="Times New Roman"/>
          <w:color w:val="000000" w:themeColor="text1"/>
          <w:sz w:val="32"/>
          <w:szCs w:val="32"/>
        </w:rPr>
        <w:t>距</w:t>
      </w:r>
      <w:r>
        <w:rPr>
          <w:rFonts w:hint="eastAsia" w:ascii="Times New Roman" w:hAnsi="仿宋" w:eastAsia="仿宋" w:cs="Times New Roman"/>
          <w:color w:val="000000" w:themeColor="text1"/>
          <w:sz w:val="32"/>
          <w:szCs w:val="32"/>
        </w:rPr>
        <w:t>三明北</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沙县</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约3</w:t>
      </w:r>
      <w:r>
        <w:rPr>
          <w:rFonts w:ascii="Times New Roman" w:hAnsi="仿宋" w:eastAsia="仿宋" w:cs="Times New Roman"/>
          <w:color w:val="000000" w:themeColor="text1"/>
          <w:sz w:val="32"/>
          <w:szCs w:val="32"/>
        </w:rPr>
        <w:t>2</w:t>
      </w:r>
      <w:r>
        <w:rPr>
          <w:rFonts w:hint="eastAsia" w:ascii="Times New Roman" w:hAnsi="仿宋" w:eastAsia="仿宋" w:cs="Times New Roman"/>
          <w:color w:val="000000" w:themeColor="text1"/>
          <w:sz w:val="32"/>
          <w:szCs w:val="32"/>
        </w:rPr>
        <w:t>公里，</w:t>
      </w:r>
      <w:r>
        <w:rPr>
          <w:rFonts w:ascii="Times New Roman" w:hAnsi="仿宋" w:eastAsia="仿宋" w:cs="Times New Roman"/>
          <w:color w:val="000000" w:themeColor="text1"/>
          <w:sz w:val="32"/>
          <w:szCs w:val="32"/>
        </w:rPr>
        <w:t>距</w:t>
      </w:r>
      <w:r>
        <w:rPr>
          <w:rFonts w:hint="eastAsia" w:ascii="Times New Roman" w:hAnsi="仿宋" w:eastAsia="仿宋" w:cs="Times New Roman"/>
          <w:color w:val="000000" w:themeColor="text1"/>
          <w:sz w:val="32"/>
          <w:szCs w:val="32"/>
        </w:rPr>
        <w:t>三明站</w:t>
      </w:r>
      <w:r>
        <w:rPr>
          <w:rFonts w:ascii="Times New Roman" w:hAnsi="仿宋" w:eastAsia="仿宋" w:cs="Times New Roman"/>
          <w:color w:val="000000" w:themeColor="text1"/>
          <w:sz w:val="32"/>
          <w:szCs w:val="32"/>
        </w:rPr>
        <w:t>约</w:t>
      </w:r>
      <w:r>
        <w:rPr>
          <w:rFonts w:hint="eastAsia" w:ascii="Times New Roman" w:hAnsi="仿宋" w:eastAsia="仿宋" w:cs="Times New Roman"/>
          <w:color w:val="000000" w:themeColor="text1"/>
          <w:sz w:val="32"/>
          <w:szCs w:val="32"/>
        </w:rPr>
        <w:t>8公里</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在建的</w:t>
      </w:r>
      <w:r>
        <w:rPr>
          <w:rFonts w:ascii="Times New Roman" w:hAnsi="仿宋" w:eastAsia="仿宋" w:cs="Times New Roman"/>
          <w:color w:val="000000" w:themeColor="text1"/>
          <w:sz w:val="32"/>
          <w:szCs w:val="32"/>
        </w:rPr>
        <w:t>兴泉铁路（</w:t>
      </w:r>
      <w:r>
        <w:rPr>
          <w:rFonts w:hint="eastAsia" w:ascii="Times New Roman" w:hAnsi="仿宋" w:eastAsia="仿宋" w:cs="Times New Roman"/>
          <w:color w:val="000000" w:themeColor="text1"/>
          <w:sz w:val="32"/>
          <w:szCs w:val="32"/>
        </w:rPr>
        <w:t>江西</w:t>
      </w:r>
      <w:r>
        <w:rPr>
          <w:rFonts w:ascii="Times New Roman" w:hAnsi="仿宋" w:eastAsia="仿宋" w:cs="Times New Roman"/>
          <w:color w:val="000000" w:themeColor="text1"/>
          <w:sz w:val="32"/>
          <w:szCs w:val="32"/>
        </w:rPr>
        <w:t>兴国</w:t>
      </w:r>
      <w:r>
        <w:rPr>
          <w:rFonts w:hint="eastAsia" w:ascii="Times New Roman" w:hAnsi="仿宋" w:eastAsia="仿宋" w:cs="Times New Roman"/>
          <w:color w:val="000000" w:themeColor="text1"/>
          <w:sz w:val="32"/>
          <w:szCs w:val="32"/>
        </w:rPr>
        <w:t>－福建泉州</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是</w:t>
      </w:r>
      <w:r>
        <w:rPr>
          <w:rFonts w:ascii="Times New Roman" w:hAnsi="仿宋" w:eastAsia="仿宋" w:cs="Times New Roman"/>
          <w:color w:val="000000" w:themeColor="text1"/>
          <w:sz w:val="32"/>
          <w:szCs w:val="32"/>
        </w:rPr>
        <w:t>海西经济区通往西南地区铁路通道的重要组成部分，是一条以开发沿线国土资源、服务革命老区为主的区域客货运铁路，园区距三元</w:t>
      </w:r>
      <w:r>
        <w:rPr>
          <w:rFonts w:hint="eastAsia" w:ascii="Times New Roman" w:hAnsi="仿宋" w:eastAsia="仿宋" w:cs="Times New Roman"/>
          <w:color w:val="000000" w:themeColor="text1"/>
          <w:sz w:val="32"/>
          <w:szCs w:val="32"/>
        </w:rPr>
        <w:t>西站（</w:t>
      </w:r>
      <w:r>
        <w:rPr>
          <w:rFonts w:ascii="Times New Roman" w:hAnsi="仿宋" w:eastAsia="仿宋" w:cs="Times New Roman"/>
          <w:color w:val="000000" w:themeColor="text1"/>
          <w:sz w:val="32"/>
          <w:szCs w:val="32"/>
        </w:rPr>
        <w:t>眉山村站</w:t>
      </w:r>
      <w:r>
        <w:rPr>
          <w:rFonts w:hint="eastAsia" w:ascii="Times New Roman" w:hAnsi="仿宋" w:eastAsia="仿宋" w:cs="Times New Roman"/>
          <w:color w:val="000000" w:themeColor="text1"/>
          <w:sz w:val="32"/>
          <w:szCs w:val="32"/>
        </w:rPr>
        <w:t>）约30公里</w:t>
      </w:r>
      <w:r>
        <w:rPr>
          <w:rFonts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（3）机场</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沙县机场位于沙县城郊高砂镇龙慈隧道附近，现已开通北京、上海、广州等国内7个城市航线。机场远期定位为中型机场，可直飞国内主要城市、港澳地区、东南亚等国家。园区距机场约</w:t>
      </w:r>
      <w:r>
        <w:rPr>
          <w:rFonts w:ascii="Times New Roman" w:hAnsi="仿宋" w:eastAsia="仿宋" w:cs="Times New Roman"/>
          <w:color w:val="000000" w:themeColor="text1"/>
          <w:sz w:val="32"/>
          <w:szCs w:val="32"/>
        </w:rPr>
        <w:t>35</w:t>
      </w:r>
      <w:r>
        <w:rPr>
          <w:rFonts w:hint="eastAsia" w:ascii="Times New Roman" w:hAnsi="仿宋" w:eastAsia="仿宋" w:cs="Times New Roman"/>
          <w:color w:val="000000" w:themeColor="text1"/>
          <w:sz w:val="32"/>
          <w:szCs w:val="32"/>
        </w:rPr>
        <w:t>公里。</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2．公用</w:t>
      </w:r>
      <w:r>
        <w:rPr>
          <w:rFonts w:ascii="Times New Roman" w:hAnsi="仿宋" w:eastAsia="仿宋" w:cs="Times New Roman"/>
          <w:color w:val="000000" w:themeColor="text1"/>
          <w:sz w:val="32"/>
          <w:szCs w:val="32"/>
        </w:rPr>
        <w:t>设施现状</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（1）供水</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片区</w:t>
      </w:r>
      <w:r>
        <w:rPr>
          <w:rFonts w:ascii="Times New Roman" w:hAnsi="仿宋" w:eastAsia="仿宋" w:cs="Times New Roman"/>
          <w:color w:val="000000" w:themeColor="text1"/>
          <w:sz w:val="32"/>
          <w:szCs w:val="32"/>
        </w:rPr>
        <w:t>供水现状</w:t>
      </w:r>
      <w:r>
        <w:rPr>
          <w:rFonts w:hint="eastAsia" w:ascii="Times New Roman" w:hAnsi="仿宋" w:eastAsia="仿宋" w:cs="Times New Roman"/>
          <w:color w:val="000000" w:themeColor="text1"/>
          <w:sz w:val="32"/>
          <w:szCs w:val="32"/>
        </w:rPr>
        <w:t>由北侧小蕉自来水厂提供，水厂规模</w:t>
      </w:r>
      <w:r>
        <w:rPr>
          <w:rFonts w:ascii="Times New Roman" w:hAnsi="仿宋" w:eastAsia="仿宋" w:cs="Times New Roman"/>
          <w:color w:val="000000" w:themeColor="text1"/>
          <w:sz w:val="32"/>
          <w:szCs w:val="32"/>
        </w:rPr>
        <w:t>10000</w:t>
      </w:r>
      <w:r>
        <w:rPr>
          <w:rFonts w:hint="eastAsia" w:ascii="Times New Roman" w:hAnsi="仿宋" w:eastAsia="仿宋" w:cs="Times New Roman"/>
          <w:color w:val="000000" w:themeColor="text1"/>
          <w:sz w:val="32"/>
          <w:szCs w:val="32"/>
        </w:rPr>
        <w:t>立方米</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日，现状供水规模</w:t>
      </w:r>
      <w:r>
        <w:rPr>
          <w:rFonts w:ascii="Times New Roman" w:hAnsi="仿宋" w:eastAsia="仿宋" w:cs="Times New Roman"/>
          <w:color w:val="000000" w:themeColor="text1"/>
          <w:sz w:val="32"/>
          <w:szCs w:val="32"/>
        </w:rPr>
        <w:t>1</w:t>
      </w:r>
      <w:r>
        <w:rPr>
          <w:rFonts w:hint="eastAsia" w:ascii="Times New Roman" w:hAnsi="仿宋" w:eastAsia="仿宋" w:cs="Times New Roman"/>
          <w:color w:val="000000" w:themeColor="text1"/>
          <w:sz w:val="32"/>
          <w:szCs w:val="32"/>
        </w:rPr>
        <w:t>0</w:t>
      </w:r>
      <w:r>
        <w:rPr>
          <w:rFonts w:ascii="Times New Roman" w:hAnsi="仿宋" w:eastAsia="仿宋" w:cs="Times New Roman"/>
          <w:color w:val="000000" w:themeColor="text1"/>
          <w:sz w:val="32"/>
          <w:szCs w:val="32"/>
        </w:rPr>
        <w:t>000</w:t>
      </w:r>
      <w:r>
        <w:rPr>
          <w:rFonts w:hint="eastAsia" w:ascii="Times New Roman" w:hAnsi="仿宋" w:eastAsia="仿宋" w:cs="Times New Roman"/>
          <w:color w:val="000000" w:themeColor="text1"/>
          <w:sz w:val="32"/>
          <w:szCs w:val="32"/>
        </w:rPr>
        <w:t>立方米</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日（一期</w:t>
      </w:r>
      <w:r>
        <w:rPr>
          <w:rFonts w:ascii="Times New Roman" w:hAnsi="仿宋" w:eastAsia="仿宋" w:cs="Times New Roman"/>
          <w:color w:val="000000" w:themeColor="text1"/>
          <w:sz w:val="32"/>
          <w:szCs w:val="32"/>
        </w:rPr>
        <w:t>5000</w:t>
      </w:r>
      <w:r>
        <w:rPr>
          <w:rFonts w:hint="eastAsia" w:ascii="Times New Roman" w:hAnsi="仿宋" w:eastAsia="仿宋" w:cs="Times New Roman"/>
          <w:color w:val="000000" w:themeColor="text1"/>
          <w:sz w:val="32"/>
          <w:szCs w:val="32"/>
        </w:rPr>
        <w:t>立方米</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日，二期</w:t>
      </w:r>
      <w:r>
        <w:rPr>
          <w:rFonts w:ascii="Times New Roman" w:hAnsi="仿宋" w:eastAsia="仿宋" w:cs="Times New Roman"/>
          <w:color w:val="000000" w:themeColor="text1"/>
          <w:sz w:val="32"/>
          <w:szCs w:val="32"/>
        </w:rPr>
        <w:t>5000</w:t>
      </w:r>
      <w:r>
        <w:rPr>
          <w:rFonts w:hint="eastAsia" w:ascii="Times New Roman" w:hAnsi="仿宋" w:eastAsia="仿宋" w:cs="Times New Roman"/>
          <w:color w:val="000000" w:themeColor="text1"/>
          <w:sz w:val="32"/>
          <w:szCs w:val="32"/>
        </w:rPr>
        <w:t>立方米</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日）。另规划期内，计划实施第二水厂建设工程，供水能力为2.7万立方米</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日。园区供水能力能满足成片开发区域新增</w:t>
      </w:r>
      <w:r>
        <w:rPr>
          <w:rFonts w:ascii="Times New Roman" w:hAnsi="仿宋" w:eastAsia="仿宋" w:cs="Times New Roman"/>
          <w:color w:val="000000" w:themeColor="text1"/>
          <w:sz w:val="32"/>
          <w:szCs w:val="32"/>
        </w:rPr>
        <w:t>生活用水</w:t>
      </w:r>
      <w:r>
        <w:rPr>
          <w:rFonts w:hint="eastAsia" w:ascii="Times New Roman" w:hAnsi="仿宋" w:eastAsia="仿宋" w:cs="Times New Roman"/>
          <w:color w:val="000000" w:themeColor="text1"/>
          <w:sz w:val="32"/>
          <w:szCs w:val="32"/>
        </w:rPr>
        <w:t>及</w:t>
      </w:r>
      <w:r>
        <w:rPr>
          <w:rFonts w:ascii="Times New Roman" w:hAnsi="仿宋" w:eastAsia="仿宋" w:cs="Times New Roman"/>
          <w:color w:val="000000" w:themeColor="text1"/>
          <w:sz w:val="32"/>
          <w:szCs w:val="32"/>
        </w:rPr>
        <w:t>工业用水</w:t>
      </w:r>
      <w:r>
        <w:rPr>
          <w:rFonts w:hint="eastAsia" w:ascii="Times New Roman" w:hAnsi="仿宋" w:eastAsia="仿宋" w:cs="Times New Roman"/>
          <w:color w:val="000000" w:themeColor="text1"/>
          <w:sz w:val="32"/>
          <w:szCs w:val="32"/>
        </w:rPr>
        <w:t>的需求。</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（2）污水</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福建梅列</w:t>
      </w:r>
      <w:r>
        <w:rPr>
          <w:rFonts w:ascii="Times New Roman" w:hAnsi="仿宋" w:eastAsia="仿宋" w:cs="Times New Roman"/>
          <w:color w:val="000000" w:themeColor="text1"/>
          <w:sz w:val="32"/>
          <w:szCs w:val="32"/>
        </w:rPr>
        <w:t>经济开发区小蕉污水</w:t>
      </w:r>
      <w:r>
        <w:rPr>
          <w:rFonts w:hint="eastAsia" w:ascii="Times New Roman" w:hAnsi="仿宋" w:eastAsia="仿宋" w:cs="Times New Roman"/>
          <w:color w:val="000000" w:themeColor="text1"/>
          <w:sz w:val="32"/>
          <w:szCs w:val="32"/>
        </w:rPr>
        <w:t>处理厂</w:t>
      </w:r>
      <w:r>
        <w:rPr>
          <w:rFonts w:ascii="Times New Roman" w:hAnsi="仿宋" w:eastAsia="仿宋" w:cs="Times New Roman"/>
          <w:color w:val="000000" w:themeColor="text1"/>
          <w:sz w:val="32"/>
          <w:szCs w:val="32"/>
        </w:rPr>
        <w:t>工程（</w:t>
      </w:r>
      <w:r>
        <w:rPr>
          <w:rFonts w:hint="eastAsia" w:ascii="Times New Roman" w:hAnsi="仿宋" w:eastAsia="仿宋" w:cs="Times New Roman"/>
          <w:color w:val="000000" w:themeColor="text1"/>
          <w:sz w:val="32"/>
          <w:szCs w:val="32"/>
        </w:rPr>
        <w:t>一期</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于2017年</w:t>
      </w:r>
      <w:r>
        <w:rPr>
          <w:rFonts w:ascii="Times New Roman" w:hAnsi="仿宋" w:eastAsia="仿宋" w:cs="Times New Roman"/>
          <w:color w:val="000000" w:themeColor="text1"/>
          <w:sz w:val="32"/>
          <w:szCs w:val="32"/>
        </w:rPr>
        <w:t>初建设完成并投入运行</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处理规模2000</w:t>
      </w:r>
      <w:r>
        <w:rPr>
          <w:rFonts w:hint="eastAsia" w:ascii="Times New Roman" w:hAnsi="仿宋" w:eastAsia="仿宋" w:cs="Times New Roman"/>
          <w:color w:val="000000" w:themeColor="text1"/>
          <w:sz w:val="32"/>
          <w:szCs w:val="32"/>
        </w:rPr>
        <w:t>立方米</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日，主要</w:t>
      </w:r>
      <w:r>
        <w:rPr>
          <w:rFonts w:ascii="Times New Roman" w:hAnsi="仿宋" w:eastAsia="仿宋" w:cs="Times New Roman"/>
          <w:color w:val="000000" w:themeColor="text1"/>
          <w:sz w:val="32"/>
          <w:szCs w:val="32"/>
        </w:rPr>
        <w:t>负责处理小蕉工业园内所有工厂企业</w:t>
      </w:r>
      <w:r>
        <w:rPr>
          <w:rFonts w:hint="eastAsia" w:ascii="Times New Roman" w:hAnsi="仿宋" w:eastAsia="仿宋" w:cs="Times New Roman"/>
          <w:color w:val="000000" w:themeColor="text1"/>
          <w:sz w:val="32"/>
          <w:szCs w:val="32"/>
        </w:rPr>
        <w:t>产生的</w:t>
      </w:r>
      <w:r>
        <w:rPr>
          <w:rFonts w:ascii="Times New Roman" w:hAnsi="仿宋" w:eastAsia="仿宋" w:cs="Times New Roman"/>
          <w:color w:val="000000" w:themeColor="text1"/>
          <w:sz w:val="32"/>
          <w:szCs w:val="32"/>
        </w:rPr>
        <w:t>废水</w:t>
      </w:r>
      <w:r>
        <w:rPr>
          <w:rFonts w:hint="eastAsia" w:ascii="Times New Roman" w:hAnsi="仿宋" w:eastAsia="仿宋" w:cs="Times New Roman"/>
          <w:color w:val="000000" w:themeColor="text1"/>
          <w:sz w:val="32"/>
          <w:szCs w:val="32"/>
        </w:rPr>
        <w:t>以及</w:t>
      </w:r>
      <w:r>
        <w:rPr>
          <w:rFonts w:ascii="Times New Roman" w:hAnsi="仿宋" w:eastAsia="仿宋" w:cs="Times New Roman"/>
          <w:color w:val="000000" w:themeColor="text1"/>
          <w:sz w:val="32"/>
          <w:szCs w:val="32"/>
        </w:rPr>
        <w:t>居民生活污水。</w:t>
      </w:r>
      <w:r>
        <w:rPr>
          <w:rFonts w:hint="eastAsia" w:ascii="Times New Roman" w:hAnsi="仿宋" w:eastAsia="仿宋" w:cs="Times New Roman"/>
          <w:color w:val="000000" w:themeColor="text1"/>
          <w:sz w:val="32"/>
          <w:szCs w:val="32"/>
        </w:rPr>
        <w:t>现有处理规模难以满足成片开发区域内污水处理需求，因此，方案实施期内，计划</w:t>
      </w:r>
      <w:r>
        <w:rPr>
          <w:rFonts w:ascii="Times New Roman" w:hAnsi="仿宋" w:eastAsia="仿宋" w:cs="Times New Roman"/>
          <w:color w:val="000000" w:themeColor="text1"/>
          <w:sz w:val="32"/>
          <w:szCs w:val="32"/>
        </w:rPr>
        <w:t>在明年</w:t>
      </w:r>
      <w:r>
        <w:rPr>
          <w:rFonts w:hint="eastAsia" w:ascii="Times New Roman" w:hAnsi="仿宋" w:eastAsia="仿宋" w:cs="Times New Roman"/>
          <w:color w:val="000000" w:themeColor="text1"/>
          <w:sz w:val="32"/>
          <w:szCs w:val="32"/>
        </w:rPr>
        <w:t>将小蕉污水处理厂</w:t>
      </w:r>
      <w:r>
        <w:rPr>
          <w:rFonts w:ascii="Times New Roman" w:hAnsi="仿宋" w:eastAsia="仿宋" w:cs="Times New Roman"/>
          <w:color w:val="000000" w:themeColor="text1"/>
          <w:sz w:val="32"/>
          <w:szCs w:val="32"/>
        </w:rPr>
        <w:t>日处理规模</w:t>
      </w:r>
      <w:r>
        <w:rPr>
          <w:rFonts w:hint="eastAsia" w:ascii="Times New Roman" w:hAnsi="仿宋" w:eastAsia="仿宋" w:cs="Times New Roman"/>
          <w:color w:val="000000" w:themeColor="text1"/>
          <w:sz w:val="32"/>
          <w:szCs w:val="32"/>
        </w:rPr>
        <w:t>提升4000立方米/日</w:t>
      </w:r>
      <w:r>
        <w:rPr>
          <w:rFonts w:ascii="Times New Roman" w:hAnsi="仿宋" w:eastAsia="仿宋" w:cs="Times New Roman"/>
          <w:color w:val="000000" w:themeColor="text1"/>
          <w:sz w:val="32"/>
          <w:szCs w:val="32"/>
        </w:rPr>
        <w:t>。污水处理厂</w:t>
      </w:r>
      <w:r>
        <w:rPr>
          <w:rFonts w:hint="eastAsia" w:ascii="Times New Roman" w:hAnsi="仿宋" w:eastAsia="仿宋" w:cs="Times New Roman"/>
          <w:color w:val="000000" w:themeColor="text1"/>
          <w:sz w:val="32"/>
          <w:szCs w:val="32"/>
        </w:rPr>
        <w:t>已敷设第一阶段污水管2.2公里，</w:t>
      </w:r>
      <w:r>
        <w:rPr>
          <w:rFonts w:ascii="Times New Roman" w:hAnsi="仿宋" w:eastAsia="仿宋" w:cs="Times New Roman"/>
          <w:color w:val="000000" w:themeColor="text1"/>
          <w:sz w:val="32"/>
          <w:szCs w:val="32"/>
        </w:rPr>
        <w:t>力争在202</w:t>
      </w:r>
      <w:r>
        <w:rPr>
          <w:rFonts w:hint="eastAsia" w:ascii="Times New Roman" w:hAnsi="仿宋" w:eastAsia="仿宋" w:cs="Times New Roman"/>
          <w:color w:val="000000" w:themeColor="text1"/>
          <w:sz w:val="32"/>
          <w:szCs w:val="32"/>
        </w:rPr>
        <w:t>1</w:t>
      </w:r>
      <w:r>
        <w:rPr>
          <w:rFonts w:ascii="Times New Roman" w:hAnsi="仿宋" w:eastAsia="仿宋" w:cs="Times New Roman"/>
          <w:color w:val="000000" w:themeColor="text1"/>
          <w:sz w:val="32"/>
          <w:szCs w:val="32"/>
        </w:rPr>
        <w:t>年底前完成项目建设</w:t>
      </w:r>
      <w:r>
        <w:rPr>
          <w:rFonts w:hint="eastAsia" w:ascii="Times New Roman" w:hAnsi="仿宋" w:eastAsia="仿宋" w:cs="Times New Roman"/>
          <w:color w:val="000000" w:themeColor="text1"/>
          <w:sz w:val="32"/>
          <w:szCs w:val="32"/>
        </w:rPr>
        <w:t>。建设完工后，能满足成片开发区域内新增污水收集处理需求。</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3</w:t>
      </w:r>
      <w:r>
        <w:rPr>
          <w:rFonts w:hint="eastAsia" w:ascii="Times New Roman" w:hAnsi="仿宋" w:eastAsia="仿宋" w:cs="Times New Roman"/>
          <w:color w:val="000000" w:themeColor="text1"/>
          <w:sz w:val="32"/>
          <w:szCs w:val="32"/>
        </w:rPr>
        <w:t>）供电</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小蕉园区</w:t>
      </w:r>
      <w:r>
        <w:rPr>
          <w:rFonts w:ascii="Times New Roman" w:hAnsi="仿宋" w:eastAsia="仿宋" w:cs="Times New Roman"/>
          <w:color w:val="000000" w:themeColor="text1"/>
          <w:sz w:val="32"/>
          <w:szCs w:val="32"/>
        </w:rPr>
        <w:t>内</w:t>
      </w:r>
      <w:r>
        <w:rPr>
          <w:rFonts w:hint="eastAsia" w:ascii="Times New Roman" w:hAnsi="仿宋" w:eastAsia="仿宋" w:cs="Times New Roman"/>
          <w:color w:val="000000" w:themeColor="text1"/>
          <w:sz w:val="32"/>
          <w:szCs w:val="32"/>
        </w:rPr>
        <w:t>现有变电站三处，分别为220千伏安居变、110千伏忠山变以及110千伏小蕉变，其中安居变主变容量为180兆伏安，位于园区西南部；忠山变主变容量为31.5兆伏安，位于园区中部；小蕉轧钢厂专用变主变容量为25兆伏安，位于小蕉轧钢厂南部。现小蕉园区的工业和生活用电由110千伏小蕉变和110千伏忠山变共同提供。现有电力设施能满足成片开发区域的用电需求。</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56" w:name="_Toc69542951"/>
      <w:bookmarkStart w:id="57" w:name="_Toc61179723"/>
      <w:bookmarkStart w:id="58" w:name="_Toc69511829"/>
      <w:bookmarkStart w:id="59" w:name="_Toc17184"/>
      <w:bookmarkStart w:id="60" w:name="_Toc69511864"/>
      <w:r>
        <w:rPr>
          <w:rFonts w:hint="eastAsia" w:ascii="Times New Roman" w:hAnsi="Arial" w:eastAsia="黑体" w:cs="Times New Roman"/>
          <w:b w:val="0"/>
          <w:color w:val="000000" w:themeColor="text1"/>
          <w:kern w:val="2"/>
          <w:sz w:val="32"/>
          <w:szCs w:val="32"/>
        </w:rPr>
        <w:t>（三）实施周期</w:t>
      </w:r>
      <w:bookmarkEnd w:id="56"/>
      <w:bookmarkEnd w:id="57"/>
      <w:bookmarkEnd w:id="58"/>
      <w:bookmarkEnd w:id="59"/>
      <w:bookmarkEnd w:id="60"/>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综合考虑当地社会经济发展状况等因素，本方案实施周期为</w:t>
      </w:r>
      <w:r>
        <w:rPr>
          <w:rFonts w:ascii="Times New Roman" w:hAnsi="仿宋" w:eastAsia="仿宋" w:cs="Times New Roman"/>
          <w:color w:val="000000" w:themeColor="text1"/>
          <w:sz w:val="32"/>
          <w:szCs w:val="32"/>
        </w:rPr>
        <w:t>3</w:t>
      </w:r>
      <w:r>
        <w:rPr>
          <w:rFonts w:hint="eastAsia" w:ascii="Times New Roman" w:hAnsi="仿宋" w:eastAsia="仿宋" w:cs="Times New Roman"/>
          <w:color w:val="000000" w:themeColor="text1"/>
          <w:sz w:val="32"/>
          <w:szCs w:val="32"/>
        </w:rPr>
        <w:t>年（20</w:t>
      </w:r>
      <w:r>
        <w:rPr>
          <w:rFonts w:ascii="Times New Roman" w:hAnsi="仿宋" w:eastAsia="仿宋" w:cs="Times New Roman"/>
          <w:color w:val="000000" w:themeColor="text1"/>
          <w:sz w:val="32"/>
          <w:szCs w:val="32"/>
        </w:rPr>
        <w:t>21</w:t>
      </w:r>
      <w:r>
        <w:rPr>
          <w:rFonts w:hint="eastAsia" w:ascii="Times New Roman" w:hAnsi="仿宋" w:eastAsia="仿宋" w:cs="Times New Roman"/>
          <w:color w:val="000000" w:themeColor="text1"/>
          <w:sz w:val="32"/>
          <w:szCs w:val="32"/>
        </w:rPr>
        <w:t>年至20</w:t>
      </w:r>
      <w:r>
        <w:rPr>
          <w:rFonts w:ascii="Times New Roman" w:hAnsi="仿宋" w:eastAsia="仿宋" w:cs="Times New Roman"/>
          <w:color w:val="000000" w:themeColor="text1"/>
          <w:sz w:val="32"/>
          <w:szCs w:val="32"/>
        </w:rPr>
        <w:t>23</w:t>
      </w:r>
      <w:r>
        <w:rPr>
          <w:rFonts w:hint="eastAsia" w:ascii="Times New Roman" w:hAnsi="仿宋" w:eastAsia="仿宋" w:cs="Times New Roman"/>
          <w:color w:val="000000" w:themeColor="text1"/>
          <w:sz w:val="32"/>
          <w:szCs w:val="32"/>
        </w:rPr>
        <w:t>年）。</w:t>
      </w:r>
    </w:p>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61" w:name="_Toc61179724"/>
      <w:bookmarkStart w:id="62" w:name="_Toc69542952"/>
      <w:bookmarkStart w:id="63" w:name="_Toc69511830"/>
      <w:bookmarkStart w:id="64" w:name="_Toc69511865"/>
      <w:bookmarkStart w:id="65" w:name="_Toc32512"/>
      <w:bookmarkStart w:id="66" w:name="_Toc61613922"/>
      <w:r>
        <w:rPr>
          <w:rFonts w:hint="eastAsia" w:ascii="Times New Roman" w:hAnsi="黑体" w:eastAsia="黑体" w:cs="Times New Roman"/>
          <w:b w:val="0"/>
          <w:color w:val="000000" w:themeColor="text1"/>
          <w:sz w:val="32"/>
          <w:szCs w:val="32"/>
        </w:rPr>
        <w:t>四、必要性</w:t>
      </w:r>
      <w:bookmarkEnd w:id="61"/>
      <w:r>
        <w:rPr>
          <w:rFonts w:hint="eastAsia" w:ascii="Times New Roman" w:hAnsi="黑体" w:eastAsia="黑体" w:cs="Times New Roman"/>
          <w:b w:val="0"/>
          <w:color w:val="000000" w:themeColor="text1"/>
          <w:sz w:val="32"/>
          <w:szCs w:val="32"/>
        </w:rPr>
        <w:t>分析</w:t>
      </w:r>
      <w:bookmarkEnd w:id="62"/>
      <w:bookmarkEnd w:id="63"/>
      <w:bookmarkEnd w:id="64"/>
      <w:bookmarkEnd w:id="65"/>
      <w:bookmarkEnd w:id="66"/>
    </w:p>
    <w:p>
      <w:pPr>
        <w:pStyle w:val="5"/>
        <w:keepNext/>
        <w:keepLines/>
        <w:widowControl w:val="0"/>
        <w:spacing w:before="0" w:beforeAutospacing="0" w:after="0" w:afterAutospacing="0" w:line="360" w:lineRule="auto"/>
        <w:ind w:firstLine="640" w:firstLineChars="200"/>
        <w:jc w:val="both"/>
        <w:rPr>
          <w:rFonts w:ascii="Times New Roman" w:hAnsi="仿宋" w:eastAsia="仿宋" w:cs="Times New Roman"/>
          <w:color w:val="000000" w:themeColor="text1"/>
          <w:sz w:val="32"/>
          <w:szCs w:val="32"/>
        </w:rPr>
      </w:pPr>
      <w:bookmarkStart w:id="67" w:name="_Toc69511866"/>
      <w:bookmarkStart w:id="68" w:name="_Toc69511831"/>
      <w:bookmarkStart w:id="69" w:name="_Toc69542953"/>
      <w:bookmarkStart w:id="70" w:name="_Toc5836"/>
      <w:r>
        <w:rPr>
          <w:rFonts w:hint="eastAsia" w:ascii="Times New Roman" w:hAnsi="Arial" w:eastAsia="黑体" w:cs="Times New Roman"/>
          <w:b w:val="0"/>
          <w:color w:val="000000" w:themeColor="text1"/>
          <w:kern w:val="2"/>
          <w:sz w:val="32"/>
          <w:szCs w:val="32"/>
        </w:rPr>
        <w:t>（一）是</w:t>
      </w:r>
      <w:r>
        <w:rPr>
          <w:rFonts w:ascii="Times New Roman" w:hAnsi="Arial" w:eastAsia="黑体" w:cs="Times New Roman"/>
          <w:b w:val="0"/>
          <w:color w:val="000000" w:themeColor="text1"/>
          <w:kern w:val="2"/>
          <w:sz w:val="32"/>
          <w:szCs w:val="32"/>
        </w:rPr>
        <w:t>落实党中央支持革命老区发展政策</w:t>
      </w:r>
      <w:r>
        <w:rPr>
          <w:rFonts w:hint="eastAsia" w:ascii="Times New Roman" w:hAnsi="Arial" w:eastAsia="黑体" w:cs="Times New Roman"/>
          <w:b w:val="0"/>
          <w:color w:val="000000" w:themeColor="text1"/>
          <w:kern w:val="2"/>
          <w:sz w:val="32"/>
          <w:szCs w:val="32"/>
        </w:rPr>
        <w:t>，践行</w:t>
      </w:r>
      <w:r>
        <w:rPr>
          <w:rFonts w:ascii="Times New Roman" w:hAnsi="Arial" w:eastAsia="黑体" w:cs="Times New Roman"/>
          <w:b w:val="0"/>
          <w:color w:val="000000" w:themeColor="text1"/>
          <w:kern w:val="2"/>
          <w:sz w:val="32"/>
          <w:szCs w:val="32"/>
        </w:rPr>
        <w:t>“</w:t>
      </w:r>
      <w:r>
        <w:rPr>
          <w:rFonts w:hint="eastAsia" w:ascii="Times New Roman" w:hAnsi="Arial" w:eastAsia="黑体" w:cs="Times New Roman"/>
          <w:b w:val="0"/>
          <w:color w:val="000000" w:themeColor="text1"/>
          <w:kern w:val="2"/>
          <w:sz w:val="32"/>
          <w:szCs w:val="32"/>
        </w:rPr>
        <w:t>三明</w:t>
      </w:r>
      <w:r>
        <w:rPr>
          <w:rFonts w:ascii="Times New Roman" w:hAnsi="Arial" w:eastAsia="黑体" w:cs="Times New Roman"/>
          <w:b w:val="0"/>
          <w:color w:val="000000" w:themeColor="text1"/>
          <w:kern w:val="2"/>
          <w:sz w:val="32"/>
          <w:szCs w:val="32"/>
        </w:rPr>
        <w:t>实践”</w:t>
      </w:r>
      <w:r>
        <w:rPr>
          <w:rFonts w:hint="eastAsia" w:ascii="Times New Roman" w:hAnsi="Arial" w:eastAsia="黑体" w:cs="Times New Roman"/>
          <w:b w:val="0"/>
          <w:color w:val="000000" w:themeColor="text1"/>
          <w:kern w:val="2"/>
          <w:sz w:val="32"/>
          <w:szCs w:val="32"/>
        </w:rPr>
        <w:t>的</w:t>
      </w:r>
      <w:r>
        <w:rPr>
          <w:rFonts w:ascii="Times New Roman" w:hAnsi="Arial" w:eastAsia="黑体" w:cs="Times New Roman"/>
          <w:b w:val="0"/>
          <w:color w:val="000000" w:themeColor="text1"/>
          <w:kern w:val="2"/>
          <w:sz w:val="32"/>
          <w:szCs w:val="32"/>
        </w:rPr>
        <w:t>需要</w:t>
      </w:r>
      <w:bookmarkEnd w:id="67"/>
      <w:bookmarkEnd w:id="68"/>
      <w:bookmarkEnd w:id="69"/>
      <w:bookmarkEnd w:id="70"/>
    </w:p>
    <w:p>
      <w:pPr>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国务院关于新时代支持革命老区振兴发展的意见</w:t>
      </w:r>
      <w:r>
        <w:rPr>
          <w:rFonts w:hint="eastAsia" w:ascii="Times New Roman" w:hAnsi="仿宋" w:eastAsia="仿宋" w:cs="Times New Roman"/>
          <w:color w:val="000000" w:themeColor="text1"/>
          <w:sz w:val="32"/>
          <w:szCs w:val="32"/>
        </w:rPr>
        <w:t>》的出台充分体现了党中央、国务院对革命老区振兴发展的高度重视和习近平总书记对革命老区人民的深切关怀，是“十四五”规划开局起步和建党 100 周年的重大部署，是梅列区振兴发展的重大机遇。以梅列区</w:t>
      </w:r>
      <w:r>
        <w:rPr>
          <w:rFonts w:ascii="Times New Roman" w:hAnsi="仿宋" w:eastAsia="仿宋" w:cs="Times New Roman"/>
          <w:color w:val="000000" w:themeColor="text1"/>
          <w:sz w:val="32"/>
          <w:szCs w:val="32"/>
        </w:rPr>
        <w:t>在内的</w:t>
      </w:r>
      <w:r>
        <w:rPr>
          <w:rFonts w:hint="eastAsia" w:ascii="Times New Roman" w:hAnsi="仿宋" w:eastAsia="仿宋" w:cs="Times New Roman"/>
          <w:color w:val="000000" w:themeColor="text1"/>
          <w:sz w:val="32"/>
          <w:szCs w:val="32"/>
        </w:rPr>
        <w:t>三明</w:t>
      </w:r>
      <w:r>
        <w:rPr>
          <w:rFonts w:ascii="Times New Roman" w:hAnsi="仿宋" w:eastAsia="仿宋" w:cs="Times New Roman"/>
          <w:color w:val="000000" w:themeColor="text1"/>
          <w:sz w:val="32"/>
          <w:szCs w:val="32"/>
        </w:rPr>
        <w:t>革命老区</w:t>
      </w:r>
      <w:r>
        <w:rPr>
          <w:rFonts w:hint="eastAsia" w:ascii="Times New Roman" w:hAnsi="仿宋" w:eastAsia="仿宋" w:cs="Times New Roman"/>
          <w:color w:val="000000" w:themeColor="text1"/>
          <w:sz w:val="32"/>
          <w:szCs w:val="32"/>
        </w:rPr>
        <w:t>要用好用足政策，激发内生动力，扬优势补短板，推动梅列在全面建设社会主义现代化国家新征程</w:t>
      </w:r>
      <w:bookmarkStart w:id="167" w:name="_GoBack"/>
      <w:bookmarkEnd w:id="167"/>
      <w:r>
        <w:rPr>
          <w:rFonts w:hint="eastAsia" w:ascii="Times New Roman" w:hAnsi="仿宋" w:eastAsia="仿宋" w:cs="Times New Roman"/>
          <w:color w:val="000000" w:themeColor="text1"/>
          <w:sz w:val="32"/>
          <w:szCs w:val="32"/>
        </w:rPr>
        <w:t>中开好局、起好步，走出一条新时代革命老区实现共同富裕之路。</w:t>
      </w:r>
    </w:p>
    <w:p>
      <w:pPr>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次成片开发为产业发展提供空间和载体，有助于三明市经济发展，促进市政公用设施、公共服务设施、产业配套设施提质增效，巩固拓展脱贫攻坚成果，开启社会主义现代化建设新征程，让中央苏区、三明市革命老区人民逐步过上更加富裕幸福的生活。</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71" w:name="_Toc8145"/>
      <w:bookmarkStart w:id="72" w:name="_Toc3965287"/>
      <w:r>
        <w:rPr>
          <w:rFonts w:hint="eastAsia" w:ascii="Times New Roman" w:hAnsi="Arial" w:eastAsia="黑体" w:cs="Times New Roman"/>
          <w:b w:val="0"/>
          <w:color w:val="000000" w:themeColor="text1"/>
          <w:kern w:val="2"/>
          <w:sz w:val="32"/>
          <w:szCs w:val="32"/>
        </w:rPr>
        <w:t>（二）是突出片区内发展高端装备制造产业优势</w:t>
      </w:r>
      <w:bookmarkEnd w:id="71"/>
      <w:r>
        <w:rPr>
          <w:rFonts w:hint="eastAsia" w:ascii="Times New Roman" w:hAnsi="Arial" w:eastAsia="黑体" w:cs="Times New Roman"/>
          <w:b w:val="0"/>
          <w:color w:val="000000" w:themeColor="text1"/>
          <w:kern w:val="2"/>
          <w:sz w:val="32"/>
          <w:szCs w:val="32"/>
        </w:rPr>
        <w:t>的需要</w:t>
      </w:r>
    </w:p>
    <w:p>
      <w:pPr>
        <w:ind w:firstLine="640" w:firstLineChars="200"/>
        <w:rPr>
          <w:rFonts w:ascii="Times New Roman" w:hAnsi="仿宋" w:eastAsia="仿宋" w:cs="Times New Roman"/>
          <w:color w:val="000000" w:themeColor="text1"/>
          <w:sz w:val="32"/>
          <w:szCs w:val="32"/>
        </w:rPr>
      </w:pPr>
      <w:r>
        <w:rPr>
          <w:rFonts w:hint="eastAsia" w:eastAsia="仿宋_GB2312"/>
          <w:color w:val="000000" w:themeColor="text1"/>
          <w:sz w:val="32"/>
          <w:szCs w:val="32"/>
        </w:rPr>
        <w:t>三明市装备制造</w:t>
      </w:r>
      <w:r>
        <w:rPr>
          <w:rFonts w:eastAsia="仿宋_GB2312"/>
          <w:color w:val="000000" w:themeColor="text1"/>
          <w:sz w:val="32"/>
          <w:szCs w:val="32"/>
        </w:rPr>
        <w:t>产业</w:t>
      </w:r>
      <w:r>
        <w:rPr>
          <w:rFonts w:hint="eastAsia" w:eastAsia="仿宋_GB2312"/>
          <w:color w:val="000000" w:themeColor="text1"/>
          <w:sz w:val="32"/>
          <w:szCs w:val="32"/>
        </w:rPr>
        <w:t>在未来市场中</w:t>
      </w:r>
      <w:r>
        <w:rPr>
          <w:rFonts w:eastAsia="仿宋_GB2312"/>
          <w:color w:val="000000" w:themeColor="text1"/>
          <w:sz w:val="32"/>
          <w:szCs w:val="32"/>
        </w:rPr>
        <w:t>具有广阔的发展空间。一方面，就市场需求来看，随着全球经济一体化进程的加快，劳动密集型产业、资本密集型产业和高新技术产业中劳动密集型工序以及非核心技术产品的生产加工都在加速向发展中国家转移，而且我国的铸造企业也将实施由东向西的梯度转移，在国家中部崛起战略中，由于我省的区位优势</w:t>
      </w:r>
      <w:r>
        <w:rPr>
          <w:rFonts w:hint="eastAsia" w:eastAsia="仿宋_GB2312"/>
          <w:color w:val="000000" w:themeColor="text1"/>
          <w:sz w:val="32"/>
          <w:szCs w:val="32"/>
        </w:rPr>
        <w:t>，</w:t>
      </w:r>
      <w:r>
        <w:rPr>
          <w:rFonts w:eastAsia="仿宋_GB2312"/>
          <w:color w:val="000000" w:themeColor="text1"/>
          <w:sz w:val="32"/>
          <w:szCs w:val="32"/>
        </w:rPr>
        <w:t>特别是能源和原材料的比较优势，我省</w:t>
      </w:r>
      <w:r>
        <w:rPr>
          <w:rFonts w:hint="eastAsia" w:eastAsia="仿宋_GB2312"/>
          <w:color w:val="000000" w:themeColor="text1"/>
          <w:sz w:val="32"/>
          <w:szCs w:val="32"/>
        </w:rPr>
        <w:t>装备制造</w:t>
      </w:r>
      <w:r>
        <w:rPr>
          <w:rFonts w:eastAsia="仿宋_GB2312"/>
          <w:color w:val="000000" w:themeColor="text1"/>
          <w:sz w:val="32"/>
          <w:szCs w:val="32"/>
        </w:rPr>
        <w:t>产业具有广阔的发展空间。另一方面，就产业现状来看，机械铸造产业作为</w:t>
      </w:r>
      <w:r>
        <w:rPr>
          <w:rFonts w:hint="eastAsia" w:eastAsia="仿宋_GB2312"/>
          <w:color w:val="000000" w:themeColor="text1"/>
          <w:sz w:val="32"/>
          <w:szCs w:val="32"/>
        </w:rPr>
        <w:t>三明市</w:t>
      </w:r>
      <w:r>
        <w:rPr>
          <w:rFonts w:eastAsia="仿宋_GB2312"/>
          <w:color w:val="000000" w:themeColor="text1"/>
          <w:sz w:val="32"/>
          <w:szCs w:val="32"/>
        </w:rPr>
        <w:t>传统产业，具备了一定的资金、技术、人才、市场等基础条件，在我省加快振兴装备制造业的战略进程中占到一定领先优势</w:t>
      </w:r>
      <w:r>
        <w:rPr>
          <w:rFonts w:hint="eastAsia" w:eastAsia="仿宋_GB2312"/>
          <w:color w:val="000000" w:themeColor="text1"/>
          <w:sz w:val="32"/>
          <w:szCs w:val="32"/>
        </w:rPr>
        <w:t>，</w:t>
      </w:r>
      <w:r>
        <w:rPr>
          <w:rFonts w:eastAsia="仿宋_GB2312"/>
          <w:color w:val="000000" w:themeColor="text1"/>
          <w:sz w:val="32"/>
          <w:szCs w:val="32"/>
        </w:rPr>
        <w:t>发展机械铸造产业具有广泛的社会基础。多数企业具备成熟的人才、技术条件，随着市场需求的有力拉动，企业发展的乘数效应将</w:t>
      </w:r>
      <w:r>
        <w:rPr>
          <w:rFonts w:hint="eastAsia" w:eastAsia="仿宋_GB2312"/>
          <w:color w:val="000000" w:themeColor="text1"/>
          <w:sz w:val="32"/>
          <w:szCs w:val="32"/>
        </w:rPr>
        <w:t>凸显</w:t>
      </w:r>
      <w:r>
        <w:rPr>
          <w:rFonts w:eastAsia="仿宋_GB2312"/>
          <w:color w:val="000000" w:themeColor="text1"/>
          <w:sz w:val="32"/>
          <w:szCs w:val="32"/>
        </w:rPr>
        <w:t>出来。特别是随着近年来的发展，</w:t>
      </w:r>
      <w:r>
        <w:rPr>
          <w:rFonts w:hint="eastAsia" w:eastAsia="仿宋_GB2312"/>
          <w:color w:val="000000" w:themeColor="text1"/>
          <w:sz w:val="32"/>
          <w:szCs w:val="32"/>
        </w:rPr>
        <w:t>福建梅列经济开发区</w:t>
      </w:r>
      <w:r>
        <w:rPr>
          <w:rFonts w:eastAsia="仿宋_GB2312"/>
          <w:color w:val="000000" w:themeColor="text1"/>
          <w:sz w:val="32"/>
          <w:szCs w:val="32"/>
        </w:rPr>
        <w:t>不少骨干企业已经形成一定的资本积累，实现由生产零部件向生产整机和成套设备跨越的时代已经到来，在我省振兴装备制造业的发展战略中，</w:t>
      </w:r>
      <w:r>
        <w:rPr>
          <w:rFonts w:hint="eastAsia" w:eastAsia="仿宋_GB2312"/>
          <w:color w:val="000000" w:themeColor="text1"/>
          <w:sz w:val="32"/>
          <w:szCs w:val="32"/>
        </w:rPr>
        <w:t>福建梅列经济开发区</w:t>
      </w:r>
      <w:r>
        <w:rPr>
          <w:rFonts w:eastAsia="仿宋_GB2312"/>
          <w:color w:val="000000" w:themeColor="text1"/>
          <w:sz w:val="32"/>
          <w:szCs w:val="32"/>
        </w:rPr>
        <w:t>机械铸造产业大有作为。</w:t>
      </w:r>
    </w:p>
    <w:p>
      <w:pPr>
        <w:ind w:firstLine="640" w:firstLineChars="200"/>
        <w:rPr>
          <w:rFonts w:eastAsia="仿宋_GB2312"/>
          <w:color w:val="000000" w:themeColor="text1"/>
          <w:sz w:val="32"/>
          <w:szCs w:val="32"/>
        </w:rPr>
      </w:pPr>
      <w:r>
        <w:rPr>
          <w:rFonts w:hint="eastAsia" w:eastAsia="仿宋_GB2312"/>
          <w:color w:val="000000" w:themeColor="text1"/>
          <w:sz w:val="32"/>
          <w:szCs w:val="32"/>
        </w:rPr>
        <w:t>福建</w:t>
      </w:r>
      <w:r>
        <w:rPr>
          <w:rFonts w:eastAsia="仿宋_GB2312"/>
          <w:color w:val="000000" w:themeColor="text1"/>
          <w:sz w:val="32"/>
          <w:szCs w:val="32"/>
        </w:rPr>
        <w:t>梅列经济开发区为福建省级开发区，是福建省首批循环经济示范园区之一，也是三明生态工贸区核心园区（城南园）的重要组成部分。</w:t>
      </w:r>
      <w:r>
        <w:rPr>
          <w:rFonts w:hint="eastAsia" w:eastAsia="仿宋_GB2312"/>
          <w:color w:val="000000" w:themeColor="text1"/>
          <w:sz w:val="32"/>
          <w:szCs w:val="32"/>
        </w:rPr>
        <w:t>本方案落位于福建梅列经济开发区小蕉工业园，发展高端装备产业。除了上述产业聚集基础、技术、人才市场等优势外，尚有如下优势：</w:t>
      </w:r>
      <w:r>
        <w:rPr>
          <w:rFonts w:hint="eastAsia" w:eastAsia="仿宋_GB2312"/>
          <w:b/>
          <w:bCs/>
          <w:color w:val="000000" w:themeColor="text1"/>
          <w:sz w:val="32"/>
          <w:szCs w:val="32"/>
        </w:rPr>
        <w:t>一是三钢集团的产业基础优势</w:t>
      </w:r>
      <w:r>
        <w:rPr>
          <w:rFonts w:hint="eastAsia" w:eastAsia="仿宋_GB2312"/>
          <w:color w:val="000000" w:themeColor="text1"/>
          <w:sz w:val="32"/>
          <w:szCs w:val="32"/>
        </w:rPr>
        <w:t>。梅列辖区拥有全国500强的三钢集团，三钢雄厚的产业实力使园区具有不可比拟的成本优势，可就近取材，确保供应量，并且价格优惠。同时园区实施电价优惠，落地企业可使用三钢自营用电。三钢集团明确承诺，预留大盘卷生产线，企业有需求可随时开机生产，所有入园区企业钢材价格按浙江省标准给予运费补助。</w:t>
      </w:r>
      <w:r>
        <w:rPr>
          <w:rFonts w:hint="eastAsia" w:eastAsia="仿宋_GB2312"/>
          <w:b/>
          <w:bCs/>
          <w:color w:val="000000" w:themeColor="text1"/>
          <w:sz w:val="32"/>
          <w:szCs w:val="32"/>
        </w:rPr>
        <w:t>二是三明陆地港的通关优势</w:t>
      </w:r>
      <w:r>
        <w:rPr>
          <w:rFonts w:hint="eastAsia" w:eastAsia="仿宋_GB2312"/>
          <w:color w:val="000000" w:themeColor="text1"/>
          <w:sz w:val="32"/>
          <w:szCs w:val="32"/>
        </w:rPr>
        <w:t>。依托三明陆地港，商务（口岸）、海关积极开展提升跨境贸易便利化行动，推广通关改革实施“一次申报，分步处置”、“审单放行”等新型通关模式，促进贸易通关便利化水平进一步提升。因此，园区有条件打造成为国家级全产业链装备产业园区，成为国内制造产业集聚地。本方案的建设正是打造高端装备产业聚集区的重要环节。</w:t>
      </w:r>
      <w:r>
        <w:rPr>
          <w:rFonts w:hint="eastAsia" w:eastAsia="仿宋_GB2312"/>
          <w:b/>
          <w:bCs/>
          <w:color w:val="000000" w:themeColor="text1"/>
          <w:sz w:val="32"/>
          <w:szCs w:val="32"/>
        </w:rPr>
        <w:t>三是政府扶持的政策优势</w:t>
      </w:r>
      <w:r>
        <w:rPr>
          <w:rFonts w:hint="eastAsia" w:eastAsia="仿宋_GB2312"/>
          <w:color w:val="000000" w:themeColor="text1"/>
          <w:sz w:val="32"/>
          <w:szCs w:val="32"/>
        </w:rPr>
        <w:t>。三明市、梅列区相继出台政策，并实行现场办公，支持园区的发展建设。园区设立区产业发展专项资金。专项用于鼓励招商引资、企业技术改造、研发创新，支持优质企业和潜力企业发展壮大。针对入园工业项目、当年列入省级以上重点项目的入园工业项目、高新技术企业等采取不同的奖励措施，另有专门的税收贡献奖励。</w:t>
      </w:r>
    </w:p>
    <w:bookmarkEnd w:id="72"/>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73" w:name="_Toc69542954"/>
      <w:bookmarkStart w:id="74" w:name="_Toc69511832"/>
      <w:bookmarkStart w:id="75" w:name="_Toc69511867"/>
      <w:bookmarkStart w:id="76" w:name="_Toc15223"/>
      <w:r>
        <w:rPr>
          <w:rFonts w:hint="eastAsia" w:ascii="Times New Roman" w:hAnsi="Arial" w:eastAsia="黑体" w:cs="Times New Roman"/>
          <w:b w:val="0"/>
          <w:color w:val="000000" w:themeColor="text1"/>
          <w:kern w:val="2"/>
          <w:sz w:val="32"/>
          <w:szCs w:val="32"/>
        </w:rPr>
        <w:t>（三）是保障重点项目落地，推动产业发展的需要</w:t>
      </w:r>
      <w:bookmarkEnd w:id="73"/>
      <w:bookmarkEnd w:id="74"/>
      <w:bookmarkEnd w:id="75"/>
      <w:bookmarkEnd w:id="76"/>
    </w:p>
    <w:p>
      <w:pPr>
        <w:ind w:firstLine="640" w:firstLineChars="200"/>
        <w:rPr>
          <w:rFonts w:ascii="Times New Roman" w:hAnsi="仿宋" w:eastAsia="仿宋" w:cs="Times New Roman"/>
          <w:color w:val="000000" w:themeColor="text1"/>
          <w:sz w:val="32"/>
          <w:szCs w:val="32"/>
        </w:rPr>
      </w:pPr>
      <w:r>
        <w:rPr>
          <w:rFonts w:ascii="Times New Roman" w:hAnsi="仿宋" w:eastAsia="仿宋" w:cs="Times New Roman"/>
          <w:color w:val="000000" w:themeColor="text1"/>
          <w:sz w:val="32"/>
          <w:szCs w:val="32"/>
        </w:rPr>
        <w:t>装备制造业是经济社会发展的支柱性、基础性产业，</w:t>
      </w:r>
      <w:r>
        <w:rPr>
          <w:rFonts w:hint="eastAsia" w:ascii="Times New Roman" w:hAnsi="仿宋" w:eastAsia="仿宋" w:cs="Times New Roman"/>
          <w:color w:val="000000" w:themeColor="text1"/>
          <w:sz w:val="32"/>
          <w:szCs w:val="32"/>
        </w:rPr>
        <w:t>是</w:t>
      </w:r>
      <w:r>
        <w:rPr>
          <w:rFonts w:ascii="Times New Roman" w:hAnsi="仿宋" w:eastAsia="仿宋" w:cs="Times New Roman"/>
          <w:color w:val="000000" w:themeColor="text1"/>
          <w:sz w:val="32"/>
          <w:szCs w:val="32"/>
        </w:rPr>
        <w:t>工业的“</w:t>
      </w:r>
      <w:r>
        <w:rPr>
          <w:rFonts w:hint="eastAsia" w:ascii="Times New Roman" w:hAnsi="仿宋" w:eastAsia="仿宋" w:cs="Times New Roman"/>
          <w:color w:val="000000" w:themeColor="text1"/>
          <w:sz w:val="32"/>
          <w:szCs w:val="32"/>
        </w:rPr>
        <w:t>母机</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高度发达的装备制造业是实现新型工业化的基础条件，是一个国家综合国力和技术水平的重要体现。</w:t>
      </w:r>
      <w:r>
        <w:rPr>
          <w:rFonts w:hint="eastAsia" w:ascii="Times New Roman" w:hAnsi="仿宋" w:eastAsia="仿宋" w:cs="Times New Roman"/>
          <w:color w:val="000000" w:themeColor="text1"/>
          <w:sz w:val="32"/>
          <w:szCs w:val="32"/>
        </w:rPr>
        <w:t>福建梅列经济开发区作为省级经济开发区</w:t>
      </w:r>
      <w:r>
        <w:rPr>
          <w:rFonts w:ascii="Times New Roman" w:hAnsi="仿宋" w:eastAsia="仿宋" w:cs="Times New Roman"/>
          <w:color w:val="000000" w:themeColor="text1"/>
          <w:sz w:val="32"/>
          <w:szCs w:val="32"/>
        </w:rPr>
        <w:t>，在调整和振兴全省装备制造业的发展战略中肩负重要使命。</w:t>
      </w:r>
    </w:p>
    <w:p>
      <w:pPr>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目前入驻泉三高端装备产业园10个项目中，2个为省级以上高新技术企业；正在招商洽谈的</w:t>
      </w:r>
      <w:r>
        <w:rPr>
          <w:rFonts w:ascii="Times New Roman" w:hAnsi="仿宋" w:eastAsia="仿宋" w:cs="Times New Roman"/>
          <w:color w:val="000000" w:themeColor="text1"/>
          <w:sz w:val="32"/>
          <w:szCs w:val="32"/>
        </w:rPr>
        <w:t>26</w:t>
      </w:r>
      <w:r>
        <w:rPr>
          <w:rFonts w:hint="eastAsia" w:ascii="Times New Roman" w:hAnsi="仿宋" w:eastAsia="仿宋" w:cs="Times New Roman"/>
          <w:color w:val="000000" w:themeColor="text1"/>
          <w:sz w:val="32"/>
          <w:szCs w:val="32"/>
        </w:rPr>
        <w:t>个项目中，3个为省级以上高新技术企业。意向入驻优质企业多，且目前企业等地问题突出。</w:t>
      </w:r>
    </w:p>
    <w:p>
      <w:pPr>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该土地成片开发方案用于建设闽西南协同泉州三明高端装备产业园，为了推进泉州、三明高端装备产业园建设顺利开展，落实市、区两级党委、政府政策部署，加快推进项目建设工作，尽快落实项目建设条件，亟需编制本次土地成片开发方案，保障泉三高端装备产业项目落地。</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77" w:name="_Toc69542955"/>
      <w:bookmarkStart w:id="78" w:name="_Toc69511868"/>
      <w:bookmarkStart w:id="79" w:name="_Toc3223"/>
      <w:bookmarkStart w:id="80" w:name="_Toc69511833"/>
      <w:r>
        <w:rPr>
          <w:rFonts w:hint="eastAsia" w:ascii="Times New Roman" w:hAnsi="Arial" w:eastAsia="黑体" w:cs="Times New Roman"/>
          <w:b w:val="0"/>
          <w:color w:val="000000" w:themeColor="text1"/>
          <w:kern w:val="2"/>
          <w:sz w:val="32"/>
          <w:szCs w:val="32"/>
        </w:rPr>
        <w:t>（四）是产业</w:t>
      </w:r>
      <w:r>
        <w:rPr>
          <w:rFonts w:ascii="Times New Roman" w:hAnsi="Arial" w:eastAsia="黑体" w:cs="Times New Roman"/>
          <w:b w:val="0"/>
          <w:color w:val="000000" w:themeColor="text1"/>
          <w:kern w:val="2"/>
          <w:sz w:val="32"/>
          <w:szCs w:val="32"/>
        </w:rPr>
        <w:t>集聚发展的需</w:t>
      </w:r>
      <w:r>
        <w:rPr>
          <w:rFonts w:hint="eastAsia" w:ascii="Times New Roman" w:hAnsi="Arial" w:eastAsia="黑体" w:cs="Times New Roman"/>
          <w:b w:val="0"/>
          <w:color w:val="000000" w:themeColor="text1"/>
          <w:kern w:val="2"/>
          <w:sz w:val="32"/>
          <w:szCs w:val="32"/>
        </w:rPr>
        <w:t>要</w:t>
      </w:r>
      <w:bookmarkEnd w:id="77"/>
      <w:bookmarkEnd w:id="78"/>
      <w:bookmarkEnd w:id="79"/>
      <w:bookmarkEnd w:id="80"/>
    </w:p>
    <w:p>
      <w:pPr>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成片开发区域内重点发展装备产业，符合《中华人民共和国国民经济和社会发展第十四个五年规划和2035年远景目标纲要》中产业重点发展引导要求，符合《中国开发区审核公告目录》（2018年版）中福建梅列经济开发区的主导产业要求。</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目前，从国家到地方都开始把培育产业集群参与国际竞争作为重要的战略加以实施。在省、市的经济发展中，</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产业集群</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战略也将发挥重要作用，而泉三</w:t>
      </w:r>
      <w:r>
        <w:rPr>
          <w:rFonts w:ascii="Times New Roman" w:hAnsi="仿宋" w:eastAsia="仿宋" w:cs="Times New Roman"/>
          <w:color w:val="000000" w:themeColor="text1"/>
          <w:sz w:val="32"/>
          <w:szCs w:val="32"/>
        </w:rPr>
        <w:t>装备制造产业园可以为</w:t>
      </w:r>
      <w:r>
        <w:rPr>
          <w:rFonts w:hint="eastAsia" w:ascii="Times New Roman" w:hAnsi="仿宋" w:eastAsia="仿宋" w:cs="Times New Roman"/>
          <w:color w:val="000000" w:themeColor="text1"/>
          <w:sz w:val="32"/>
          <w:szCs w:val="32"/>
        </w:rPr>
        <w:t>新型装备</w:t>
      </w:r>
      <w:r>
        <w:rPr>
          <w:rFonts w:ascii="Times New Roman" w:hAnsi="仿宋" w:eastAsia="仿宋" w:cs="Times New Roman"/>
          <w:color w:val="000000" w:themeColor="text1"/>
          <w:sz w:val="32"/>
          <w:szCs w:val="32"/>
        </w:rPr>
        <w:t>制造产业</w:t>
      </w:r>
      <w:r>
        <w:rPr>
          <w:rFonts w:hint="eastAsia" w:ascii="Times New Roman" w:hAnsi="仿宋" w:eastAsia="仿宋" w:cs="Times New Roman"/>
          <w:color w:val="000000" w:themeColor="text1"/>
          <w:sz w:val="32"/>
          <w:szCs w:val="32"/>
        </w:rPr>
        <w:t>聚集提供良好的空间载体和创业环境。本方案</w:t>
      </w:r>
      <w:r>
        <w:rPr>
          <w:rFonts w:ascii="Times New Roman" w:hAnsi="仿宋" w:eastAsia="仿宋" w:cs="Times New Roman"/>
          <w:color w:val="000000" w:themeColor="text1"/>
          <w:sz w:val="32"/>
          <w:szCs w:val="32"/>
        </w:rPr>
        <w:t>的</w:t>
      </w:r>
      <w:r>
        <w:rPr>
          <w:rFonts w:hint="eastAsia" w:ascii="Times New Roman" w:hAnsi="仿宋" w:eastAsia="仿宋" w:cs="Times New Roman"/>
          <w:color w:val="000000" w:themeColor="text1"/>
          <w:sz w:val="32"/>
          <w:szCs w:val="32"/>
        </w:rPr>
        <w:t>建设，是促进企业向园区集中形成</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聚集效应</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提高工业经济总量，加快工业化进程，实现区域经济跨越式发展的重要途径。充分发挥开发区先导、示范、辐射作用，围绕重点产业，扩大招商引资，建立具有特色的工业集中区，成为三明市工业经济重要的新的增长点。</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81" w:name="_Toc69511834"/>
      <w:bookmarkStart w:id="82" w:name="_Toc5229"/>
      <w:bookmarkStart w:id="83" w:name="_Toc69511869"/>
      <w:bookmarkStart w:id="84" w:name="_Toc69542956"/>
      <w:r>
        <w:rPr>
          <w:rFonts w:hint="eastAsia" w:ascii="Times New Roman" w:hAnsi="Arial" w:eastAsia="黑体" w:cs="Times New Roman"/>
          <w:b w:val="0"/>
          <w:color w:val="000000" w:themeColor="text1"/>
          <w:kern w:val="2"/>
          <w:sz w:val="32"/>
          <w:szCs w:val="32"/>
        </w:rPr>
        <w:t>（五）是满足城市发展，完善市政等公共服务设施，进而提高人民生活水平、改善人居环境、促进规划实现和经济社会发展的需要</w:t>
      </w:r>
      <w:bookmarkEnd w:id="81"/>
      <w:bookmarkEnd w:id="82"/>
      <w:bookmarkEnd w:id="83"/>
      <w:bookmarkEnd w:id="84"/>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城市的</w:t>
      </w:r>
      <w:r>
        <w:rPr>
          <w:rFonts w:ascii="Times New Roman" w:hAnsi="仿宋" w:eastAsia="仿宋" w:cs="Times New Roman"/>
          <w:color w:val="000000" w:themeColor="text1"/>
          <w:sz w:val="32"/>
          <w:szCs w:val="32"/>
        </w:rPr>
        <w:t>发展需要</w:t>
      </w:r>
      <w:r>
        <w:rPr>
          <w:rFonts w:hint="eastAsia" w:ascii="Times New Roman" w:hAnsi="仿宋" w:eastAsia="仿宋" w:cs="Times New Roman"/>
          <w:color w:val="000000" w:themeColor="text1"/>
          <w:sz w:val="32"/>
          <w:szCs w:val="32"/>
        </w:rPr>
        <w:t>不同</w:t>
      </w:r>
      <w:r>
        <w:rPr>
          <w:rFonts w:ascii="Times New Roman" w:hAnsi="仿宋" w:eastAsia="仿宋" w:cs="Times New Roman"/>
          <w:color w:val="000000" w:themeColor="text1"/>
          <w:sz w:val="32"/>
          <w:szCs w:val="32"/>
        </w:rPr>
        <w:t>行业的联合共建，城市</w:t>
      </w:r>
      <w:r>
        <w:rPr>
          <w:rFonts w:hint="eastAsia" w:ascii="Times New Roman" w:hAnsi="仿宋" w:eastAsia="仿宋" w:cs="Times New Roman"/>
          <w:color w:val="000000" w:themeColor="text1"/>
          <w:sz w:val="32"/>
          <w:szCs w:val="32"/>
        </w:rPr>
        <w:t>职能</w:t>
      </w:r>
      <w:r>
        <w:rPr>
          <w:rFonts w:ascii="Times New Roman" w:hAnsi="仿宋" w:eastAsia="仿宋" w:cs="Times New Roman"/>
          <w:color w:val="000000" w:themeColor="text1"/>
          <w:sz w:val="32"/>
          <w:szCs w:val="32"/>
        </w:rPr>
        <w:t>的发挥需要</w:t>
      </w:r>
      <w:r>
        <w:rPr>
          <w:rFonts w:hint="eastAsia" w:ascii="Times New Roman" w:hAnsi="仿宋" w:eastAsia="仿宋" w:cs="Times New Roman"/>
          <w:color w:val="000000" w:themeColor="text1"/>
          <w:sz w:val="32"/>
          <w:szCs w:val="32"/>
        </w:rPr>
        <w:t>在</w:t>
      </w:r>
      <w:r>
        <w:rPr>
          <w:rFonts w:ascii="Times New Roman" w:hAnsi="仿宋" w:eastAsia="仿宋" w:cs="Times New Roman"/>
          <w:color w:val="000000" w:themeColor="text1"/>
          <w:sz w:val="32"/>
          <w:szCs w:val="32"/>
        </w:rPr>
        <w:t>满足各种社会需求的前提</w:t>
      </w:r>
      <w:r>
        <w:rPr>
          <w:rFonts w:hint="eastAsia" w:ascii="Times New Roman" w:hAnsi="仿宋" w:eastAsia="仿宋" w:cs="Times New Roman"/>
          <w:color w:val="000000" w:themeColor="text1"/>
          <w:sz w:val="32"/>
          <w:szCs w:val="32"/>
        </w:rPr>
        <w:t>下</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方能</w:t>
      </w:r>
      <w:r>
        <w:rPr>
          <w:rFonts w:ascii="Times New Roman" w:hAnsi="仿宋" w:eastAsia="仿宋" w:cs="Times New Roman"/>
          <w:color w:val="000000" w:themeColor="text1"/>
          <w:sz w:val="32"/>
          <w:szCs w:val="32"/>
        </w:rPr>
        <w:t>良性互动</w:t>
      </w:r>
      <w:r>
        <w:rPr>
          <w:rFonts w:hint="eastAsia"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本方案</w:t>
      </w:r>
      <w:r>
        <w:rPr>
          <w:rFonts w:ascii="Times New Roman" w:hAnsi="仿宋" w:eastAsia="仿宋" w:cs="Times New Roman"/>
          <w:color w:val="000000" w:themeColor="text1"/>
          <w:sz w:val="32"/>
          <w:szCs w:val="32"/>
        </w:rPr>
        <w:t>的</w:t>
      </w:r>
      <w:r>
        <w:rPr>
          <w:rFonts w:hint="eastAsia" w:ascii="Times New Roman" w:hAnsi="仿宋" w:eastAsia="仿宋" w:cs="Times New Roman"/>
          <w:color w:val="000000" w:themeColor="text1"/>
          <w:sz w:val="32"/>
          <w:szCs w:val="32"/>
        </w:rPr>
        <w:t>道路</w:t>
      </w:r>
      <w:r>
        <w:rPr>
          <w:rFonts w:ascii="Times New Roman" w:hAnsi="仿宋" w:eastAsia="仿宋" w:cs="Times New Roman"/>
          <w:color w:val="000000" w:themeColor="text1"/>
          <w:sz w:val="32"/>
          <w:szCs w:val="32"/>
        </w:rPr>
        <w:t>交通建设，能有效</w:t>
      </w:r>
      <w:r>
        <w:rPr>
          <w:rFonts w:hint="eastAsia" w:ascii="Times New Roman" w:hAnsi="仿宋" w:eastAsia="仿宋" w:cs="Times New Roman"/>
          <w:color w:val="000000" w:themeColor="text1"/>
          <w:sz w:val="32"/>
          <w:szCs w:val="32"/>
        </w:rPr>
        <w:t>完善</w:t>
      </w:r>
      <w:r>
        <w:rPr>
          <w:rFonts w:ascii="Times New Roman" w:hAnsi="仿宋" w:eastAsia="仿宋" w:cs="Times New Roman"/>
          <w:color w:val="000000" w:themeColor="text1"/>
          <w:sz w:val="32"/>
          <w:szCs w:val="32"/>
        </w:rPr>
        <w:t>区域交通，完善城市综合交通体系，实现城市各组团间快速联系，</w:t>
      </w:r>
      <w:r>
        <w:rPr>
          <w:rFonts w:hint="eastAsia" w:ascii="Times New Roman" w:hAnsi="仿宋" w:eastAsia="仿宋" w:cs="Times New Roman"/>
          <w:color w:val="000000" w:themeColor="text1"/>
          <w:sz w:val="32"/>
          <w:szCs w:val="32"/>
        </w:rPr>
        <w:t>拉大城市</w:t>
      </w:r>
      <w:r>
        <w:rPr>
          <w:rFonts w:ascii="Times New Roman" w:hAnsi="仿宋" w:eastAsia="仿宋" w:cs="Times New Roman"/>
          <w:color w:val="000000" w:themeColor="text1"/>
          <w:sz w:val="32"/>
          <w:szCs w:val="32"/>
        </w:rPr>
        <w:t>框架，提升周边土地开发利用价值</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另</w:t>
      </w:r>
      <w:r>
        <w:rPr>
          <w:rFonts w:hint="eastAsia" w:ascii="Times New Roman" w:hAnsi="仿宋" w:eastAsia="仿宋" w:cs="Times New Roman"/>
          <w:color w:val="000000" w:themeColor="text1"/>
          <w:sz w:val="32"/>
          <w:szCs w:val="32"/>
        </w:rPr>
        <w:t>片区</w:t>
      </w:r>
      <w:r>
        <w:rPr>
          <w:rFonts w:ascii="Times New Roman" w:hAnsi="仿宋" w:eastAsia="仿宋" w:cs="Times New Roman"/>
          <w:color w:val="000000" w:themeColor="text1"/>
          <w:sz w:val="32"/>
          <w:szCs w:val="32"/>
        </w:rPr>
        <w:t>内市政公用设施的建设能有效提升</w:t>
      </w:r>
      <w:r>
        <w:rPr>
          <w:rFonts w:hint="eastAsia" w:ascii="Times New Roman" w:hAnsi="仿宋" w:eastAsia="仿宋" w:cs="Times New Roman"/>
          <w:color w:val="000000" w:themeColor="text1"/>
          <w:sz w:val="32"/>
          <w:szCs w:val="32"/>
        </w:rPr>
        <w:t>片区</w:t>
      </w:r>
      <w:r>
        <w:rPr>
          <w:rFonts w:ascii="Times New Roman" w:hAnsi="仿宋" w:eastAsia="仿宋" w:cs="Times New Roman"/>
          <w:color w:val="000000" w:themeColor="text1"/>
          <w:sz w:val="32"/>
          <w:szCs w:val="32"/>
        </w:rPr>
        <w:t>内</w:t>
      </w:r>
      <w:r>
        <w:rPr>
          <w:rFonts w:hint="eastAsia" w:ascii="Times New Roman" w:hAnsi="仿宋" w:eastAsia="仿宋" w:cs="Times New Roman"/>
          <w:color w:val="000000" w:themeColor="text1"/>
          <w:sz w:val="32"/>
          <w:szCs w:val="32"/>
        </w:rPr>
        <w:t>供水</w:t>
      </w:r>
      <w:r>
        <w:rPr>
          <w:rFonts w:ascii="Times New Roman" w:hAnsi="仿宋" w:eastAsia="仿宋" w:cs="Times New Roman"/>
          <w:color w:val="000000" w:themeColor="text1"/>
          <w:sz w:val="32"/>
          <w:szCs w:val="32"/>
        </w:rPr>
        <w:t>、供电</w:t>
      </w:r>
      <w:r>
        <w:rPr>
          <w:rFonts w:hint="eastAsia" w:ascii="Times New Roman" w:hAnsi="仿宋" w:eastAsia="仿宋" w:cs="Times New Roman"/>
          <w:color w:val="000000" w:themeColor="text1"/>
          <w:sz w:val="32"/>
          <w:szCs w:val="32"/>
        </w:rPr>
        <w:t>及</w:t>
      </w:r>
      <w:r>
        <w:rPr>
          <w:rFonts w:ascii="Times New Roman" w:hAnsi="仿宋" w:eastAsia="仿宋" w:cs="Times New Roman"/>
          <w:color w:val="000000" w:themeColor="text1"/>
          <w:sz w:val="32"/>
          <w:szCs w:val="32"/>
        </w:rPr>
        <w:t>给排水供应及处理能力。</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项方案实施并建成后，将为当地提供大量就业机会，吸收下岗职工与闲置人口再就业，可促进当地经济和谐发展；此外，项目的实施可带动相关行业上下游产业的发展，对于搞活三明经济、增加群众收入、提高人民生活水平有着非常重要的意义。</w:t>
      </w:r>
    </w:p>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85" w:name="_Toc61613923"/>
      <w:bookmarkStart w:id="86" w:name="_Toc69542957"/>
      <w:bookmarkStart w:id="87" w:name="_Toc5367"/>
      <w:bookmarkStart w:id="88" w:name="_Toc69511870"/>
      <w:bookmarkStart w:id="89" w:name="_Toc69511835"/>
      <w:bookmarkStart w:id="90" w:name="_Toc61179727"/>
      <w:r>
        <w:rPr>
          <w:rFonts w:hint="eastAsia" w:ascii="Times New Roman" w:hAnsi="黑体" w:eastAsia="黑体" w:cs="Times New Roman"/>
          <w:b w:val="0"/>
          <w:color w:val="000000" w:themeColor="text1"/>
          <w:sz w:val="32"/>
          <w:szCs w:val="32"/>
        </w:rPr>
        <w:t>五、主要用途、实现功能及公益性用地比例</w:t>
      </w:r>
      <w:bookmarkEnd w:id="85"/>
      <w:bookmarkEnd w:id="86"/>
      <w:bookmarkEnd w:id="87"/>
      <w:bookmarkEnd w:id="88"/>
      <w:bookmarkEnd w:id="89"/>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本方案用地总面积</w:t>
      </w:r>
      <w:r>
        <w:rPr>
          <w:rFonts w:ascii="Times New Roman" w:hAnsi="仿宋" w:eastAsia="仿宋" w:cs="Times New Roman"/>
          <w:color w:val="000000" w:themeColor="text1"/>
          <w:sz w:val="32"/>
          <w:szCs w:val="32"/>
        </w:rPr>
        <w:t>69.6137</w:t>
      </w:r>
      <w:r>
        <w:rPr>
          <w:rFonts w:hint="eastAsia" w:ascii="Times New Roman" w:hAnsi="仿宋" w:eastAsia="仿宋" w:cs="Times New Roman"/>
          <w:color w:val="000000" w:themeColor="text1"/>
          <w:sz w:val="32"/>
          <w:szCs w:val="32"/>
        </w:rPr>
        <w:t>公顷，主要用途为工业用地，拟建装备制造产业发展用地、水厂、内部园区道路等。其中工业用地面积</w:t>
      </w:r>
      <w:r>
        <w:rPr>
          <w:rFonts w:ascii="Times New Roman" w:hAnsi="仿宋" w:eastAsia="仿宋" w:cs="Times New Roman"/>
          <w:color w:val="000000" w:themeColor="text1"/>
          <w:sz w:val="32"/>
          <w:szCs w:val="32"/>
        </w:rPr>
        <w:t>41.6938</w:t>
      </w:r>
      <w:r>
        <w:rPr>
          <w:rFonts w:hint="eastAsia" w:ascii="Times New Roman" w:hAnsi="仿宋" w:eastAsia="仿宋" w:cs="Times New Roman"/>
          <w:color w:val="000000" w:themeColor="text1"/>
          <w:sz w:val="32"/>
          <w:szCs w:val="32"/>
        </w:rPr>
        <w:t>公顷，实现产业发展功能；防护绿地面积</w:t>
      </w:r>
      <w:r>
        <w:rPr>
          <w:rFonts w:ascii="Times New Roman" w:hAnsi="仿宋" w:eastAsia="仿宋" w:cs="Times New Roman"/>
          <w:color w:val="000000" w:themeColor="text1"/>
          <w:sz w:val="32"/>
          <w:szCs w:val="32"/>
        </w:rPr>
        <w:t>17.7503</w:t>
      </w:r>
      <w:r>
        <w:rPr>
          <w:rFonts w:hint="eastAsia" w:ascii="Times New Roman" w:hAnsi="仿宋" w:eastAsia="仿宋" w:cs="Times New Roman"/>
          <w:color w:val="000000" w:themeColor="text1"/>
          <w:sz w:val="32"/>
          <w:szCs w:val="32"/>
        </w:rPr>
        <w:t>公顷，实现园区安全生态防护及卫生防护功能；供水用地面积2.1445公顷，满足片区及周边地块工业用水及生活用水需求；供电用地</w:t>
      </w:r>
      <w:r>
        <w:rPr>
          <w:rFonts w:ascii="Times New Roman" w:hAnsi="仿宋" w:eastAsia="仿宋" w:cs="Times New Roman"/>
          <w:color w:val="000000" w:themeColor="text1"/>
          <w:sz w:val="32"/>
          <w:szCs w:val="32"/>
        </w:rPr>
        <w:t>面积</w:t>
      </w:r>
      <w:r>
        <w:rPr>
          <w:rFonts w:hint="eastAsia" w:ascii="Times New Roman" w:hAnsi="仿宋" w:eastAsia="仿宋" w:cs="Times New Roman"/>
          <w:color w:val="000000" w:themeColor="text1"/>
          <w:sz w:val="32"/>
          <w:szCs w:val="32"/>
        </w:rPr>
        <w:t>1.2370公顷</w:t>
      </w:r>
      <w:r>
        <w:rPr>
          <w:rFonts w:ascii="Times New Roman" w:hAnsi="仿宋" w:eastAsia="仿宋" w:cs="Times New Roman"/>
          <w:color w:val="000000" w:themeColor="text1"/>
          <w:sz w:val="32"/>
          <w:szCs w:val="32"/>
        </w:rPr>
        <w:t>，实现园区内供电需求；</w:t>
      </w:r>
      <w:r>
        <w:rPr>
          <w:rFonts w:hint="eastAsia" w:ascii="Times New Roman" w:hAnsi="仿宋" w:eastAsia="仿宋" w:cs="Times New Roman"/>
          <w:color w:val="000000" w:themeColor="text1"/>
          <w:sz w:val="32"/>
          <w:szCs w:val="32"/>
        </w:rPr>
        <w:t>排水用地面积0.0393公顷，完成地块西南侧低洼地块污水集中收集后加压泵至污水主干管功能；公路用地面积</w:t>
      </w:r>
      <w:r>
        <w:rPr>
          <w:rFonts w:ascii="Times New Roman" w:hAnsi="仿宋" w:eastAsia="仿宋" w:cs="Times New Roman"/>
          <w:color w:val="000000" w:themeColor="text1"/>
          <w:sz w:val="32"/>
          <w:szCs w:val="32"/>
        </w:rPr>
        <w:t>6.7488</w:t>
      </w:r>
      <w:r>
        <w:rPr>
          <w:rFonts w:hint="eastAsia" w:ascii="Times New Roman" w:hAnsi="仿宋" w:eastAsia="仿宋" w:cs="Times New Roman"/>
          <w:color w:val="000000" w:themeColor="text1"/>
          <w:sz w:val="32"/>
          <w:szCs w:val="32"/>
        </w:rPr>
        <w:t>公顷，实现片区内部及与周边区域的联系。</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公益性用地包含公路</w:t>
      </w:r>
      <w:r>
        <w:rPr>
          <w:rFonts w:ascii="Times New Roman" w:hAnsi="仿宋" w:eastAsia="仿宋" w:cs="Times New Roman"/>
          <w:color w:val="000000" w:themeColor="text1"/>
          <w:sz w:val="32"/>
          <w:szCs w:val="32"/>
        </w:rPr>
        <w:t>用地</w:t>
      </w:r>
      <w:r>
        <w:rPr>
          <w:rFonts w:hint="eastAsia" w:ascii="Times New Roman" w:hAnsi="仿宋" w:eastAsia="仿宋" w:cs="Times New Roman"/>
          <w:color w:val="000000" w:themeColor="text1"/>
          <w:sz w:val="32"/>
          <w:szCs w:val="32"/>
        </w:rPr>
        <w:t>用途</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供水</w:t>
      </w:r>
      <w:r>
        <w:rPr>
          <w:rFonts w:ascii="Times New Roman" w:hAnsi="仿宋" w:eastAsia="仿宋" w:cs="Times New Roman"/>
          <w:color w:val="000000" w:themeColor="text1"/>
          <w:sz w:val="32"/>
          <w:szCs w:val="32"/>
        </w:rPr>
        <w:t>用地</w:t>
      </w:r>
      <w:r>
        <w:rPr>
          <w:rFonts w:hint="eastAsia" w:ascii="Times New Roman" w:hAnsi="仿宋" w:eastAsia="仿宋" w:cs="Times New Roman"/>
          <w:color w:val="000000" w:themeColor="text1"/>
          <w:sz w:val="32"/>
          <w:szCs w:val="32"/>
        </w:rPr>
        <w:t>用途</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供电</w:t>
      </w:r>
      <w:r>
        <w:rPr>
          <w:rFonts w:ascii="Times New Roman" w:hAnsi="仿宋" w:eastAsia="仿宋" w:cs="Times New Roman"/>
          <w:color w:val="000000" w:themeColor="text1"/>
          <w:sz w:val="32"/>
          <w:szCs w:val="32"/>
        </w:rPr>
        <w:t>用地用途、</w:t>
      </w:r>
      <w:r>
        <w:rPr>
          <w:rFonts w:hint="eastAsia" w:ascii="Times New Roman" w:hAnsi="仿宋" w:eastAsia="仿宋" w:cs="Times New Roman"/>
          <w:color w:val="000000" w:themeColor="text1"/>
          <w:sz w:val="32"/>
          <w:szCs w:val="32"/>
        </w:rPr>
        <w:t>排水用地用途</w:t>
      </w:r>
      <w:r>
        <w:rPr>
          <w:rFonts w:ascii="Times New Roman" w:hAnsi="仿宋" w:eastAsia="仿宋" w:cs="Times New Roman"/>
          <w:color w:val="000000" w:themeColor="text1"/>
          <w:sz w:val="32"/>
          <w:szCs w:val="32"/>
        </w:rPr>
        <w:t>、防护绿地</w:t>
      </w:r>
      <w:r>
        <w:rPr>
          <w:rFonts w:hint="eastAsia" w:ascii="Times New Roman" w:hAnsi="仿宋" w:eastAsia="仿宋" w:cs="Times New Roman"/>
          <w:color w:val="000000" w:themeColor="text1"/>
          <w:sz w:val="32"/>
          <w:szCs w:val="32"/>
        </w:rPr>
        <w:t>用途，合计</w:t>
      </w:r>
      <w:r>
        <w:rPr>
          <w:rFonts w:ascii="Times New Roman" w:hAnsi="仿宋" w:eastAsia="仿宋" w:cs="Times New Roman"/>
          <w:color w:val="000000" w:themeColor="text1"/>
          <w:sz w:val="32"/>
          <w:szCs w:val="32"/>
        </w:rPr>
        <w:t>27.9199</w:t>
      </w:r>
      <w:r>
        <w:rPr>
          <w:rFonts w:hint="eastAsia" w:ascii="Times New Roman" w:hAnsi="仿宋" w:eastAsia="仿宋" w:cs="Times New Roman"/>
          <w:color w:val="000000" w:themeColor="text1"/>
          <w:sz w:val="32"/>
          <w:szCs w:val="32"/>
        </w:rPr>
        <w:t>公顷，占用地总面积的</w:t>
      </w:r>
      <w:r>
        <w:rPr>
          <w:rFonts w:ascii="Times New Roman" w:hAnsi="仿宋" w:eastAsia="仿宋" w:cs="Times New Roman"/>
          <w:color w:val="000000" w:themeColor="text1"/>
          <w:sz w:val="32"/>
          <w:szCs w:val="32"/>
        </w:rPr>
        <w:t>40.11%</w:t>
      </w:r>
      <w:r>
        <w:rPr>
          <w:rFonts w:hint="eastAsia" w:ascii="Times New Roman" w:hAnsi="仿宋" w:eastAsia="仿宋" w:cs="Times New Roman"/>
          <w:color w:val="000000" w:themeColor="text1"/>
          <w:sz w:val="32"/>
          <w:szCs w:val="32"/>
        </w:rPr>
        <w:t>，符合自然资规〔2020〕5号文规定。</w:t>
      </w:r>
    </w:p>
    <w:bookmarkEnd w:id="90"/>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91" w:name="_Toc69511836"/>
      <w:bookmarkStart w:id="92" w:name="_Toc69511871"/>
      <w:bookmarkStart w:id="93" w:name="_Toc28199"/>
      <w:bookmarkStart w:id="94" w:name="_Toc61613924"/>
      <w:bookmarkStart w:id="95" w:name="_Toc69542958"/>
      <w:bookmarkStart w:id="96" w:name="_Toc61179730"/>
      <w:r>
        <w:rPr>
          <w:rFonts w:hint="eastAsia" w:ascii="Times New Roman" w:hAnsi="黑体" w:eastAsia="黑体" w:cs="Times New Roman"/>
          <w:b w:val="0"/>
          <w:color w:val="000000" w:themeColor="text1"/>
          <w:sz w:val="32"/>
          <w:szCs w:val="32"/>
        </w:rPr>
        <w:t>六、拟建项目及实施计划</w:t>
      </w:r>
      <w:bookmarkEnd w:id="91"/>
      <w:bookmarkEnd w:id="92"/>
      <w:bookmarkEnd w:id="93"/>
      <w:bookmarkEnd w:id="94"/>
      <w:bookmarkEnd w:id="95"/>
      <w:bookmarkEnd w:id="96"/>
    </w:p>
    <w:p>
      <w:pPr>
        <w:spacing w:line="360" w:lineRule="auto"/>
        <w:ind w:firstLine="640" w:firstLineChars="200"/>
        <w:rPr>
          <w:rFonts w:hint="eastAsia" w:ascii="Times New Roman" w:hAnsi="仿宋" w:eastAsia="仿宋" w:cs="Times New Roman"/>
          <w:color w:val="000000" w:themeColor="text1"/>
          <w:sz w:val="32"/>
          <w:szCs w:val="32"/>
          <w:lang w:eastAsia="zh-CN"/>
        </w:rPr>
      </w:pPr>
      <w:bookmarkStart w:id="97" w:name="_Toc69511837"/>
      <w:bookmarkStart w:id="98" w:name="_Toc69511872"/>
      <w:bookmarkStart w:id="99" w:name="_Toc61179731"/>
      <w:bookmarkStart w:id="100" w:name="_Toc61613925"/>
      <w:r>
        <w:rPr>
          <w:rFonts w:hint="eastAsia" w:ascii="Times New Roman" w:hAnsi="仿宋" w:eastAsia="仿宋" w:cs="Times New Roman"/>
          <w:color w:val="000000" w:themeColor="text1"/>
          <w:sz w:val="32"/>
          <w:szCs w:val="32"/>
        </w:rPr>
        <w:t>本方案用地总面积</w:t>
      </w:r>
      <w:r>
        <w:rPr>
          <w:rFonts w:ascii="Times New Roman" w:hAnsi="仿宋" w:eastAsia="仿宋" w:cs="Times New Roman"/>
          <w:color w:val="000000" w:themeColor="text1"/>
          <w:sz w:val="32"/>
          <w:szCs w:val="32"/>
        </w:rPr>
        <w:t>69.6137</w:t>
      </w:r>
      <w:r>
        <w:rPr>
          <w:rFonts w:hint="eastAsia" w:ascii="Times New Roman" w:hAnsi="仿宋" w:eastAsia="仿宋" w:cs="Times New Roman"/>
          <w:color w:val="000000" w:themeColor="text1"/>
          <w:sz w:val="32"/>
          <w:szCs w:val="32"/>
        </w:rPr>
        <w:t>公顷，其中涉及已完成实施面积</w:t>
      </w:r>
      <w:r>
        <w:rPr>
          <w:rFonts w:ascii="Times New Roman" w:hAnsi="仿宋" w:eastAsia="仿宋" w:cs="Times New Roman"/>
          <w:color w:val="000000" w:themeColor="text1"/>
          <w:sz w:val="32"/>
          <w:szCs w:val="32"/>
        </w:rPr>
        <w:t xml:space="preserve">13.7108 </w:t>
      </w:r>
      <w:r>
        <w:rPr>
          <w:rFonts w:hint="eastAsia" w:ascii="Times New Roman" w:hAnsi="仿宋" w:eastAsia="仿宋" w:cs="Times New Roman"/>
          <w:color w:val="000000" w:themeColor="text1"/>
          <w:sz w:val="32"/>
          <w:szCs w:val="32"/>
        </w:rPr>
        <w:t>公顷，故拟安排实施项目面积</w:t>
      </w:r>
      <w:r>
        <w:rPr>
          <w:rFonts w:ascii="Times New Roman" w:hAnsi="仿宋" w:eastAsia="仿宋" w:cs="Times New Roman"/>
          <w:color w:val="000000" w:themeColor="text1"/>
          <w:sz w:val="32"/>
          <w:szCs w:val="32"/>
        </w:rPr>
        <w:t>55.9029</w:t>
      </w:r>
      <w:r>
        <w:rPr>
          <w:rFonts w:hint="eastAsia" w:ascii="Times New Roman" w:hAnsi="仿宋" w:eastAsia="仿宋" w:cs="Times New Roman"/>
          <w:color w:val="000000" w:themeColor="text1"/>
          <w:sz w:val="32"/>
          <w:szCs w:val="32"/>
        </w:rPr>
        <w:t>公顷，计划实施周期为20</w:t>
      </w:r>
      <w:r>
        <w:rPr>
          <w:rFonts w:ascii="Times New Roman" w:hAnsi="仿宋" w:eastAsia="仿宋" w:cs="Times New Roman"/>
          <w:color w:val="000000" w:themeColor="text1"/>
          <w:sz w:val="32"/>
          <w:szCs w:val="32"/>
        </w:rPr>
        <w:t>21</w:t>
      </w:r>
      <w:r>
        <w:rPr>
          <w:rFonts w:hint="eastAsia" w:ascii="Times New Roman" w:hAnsi="仿宋" w:eastAsia="仿宋" w:cs="Times New Roman"/>
          <w:color w:val="000000" w:themeColor="text1"/>
          <w:sz w:val="32"/>
          <w:szCs w:val="32"/>
        </w:rPr>
        <w:t>至20</w:t>
      </w:r>
      <w:r>
        <w:rPr>
          <w:rFonts w:ascii="Times New Roman" w:hAnsi="仿宋" w:eastAsia="仿宋" w:cs="Times New Roman"/>
          <w:color w:val="000000" w:themeColor="text1"/>
          <w:sz w:val="32"/>
          <w:szCs w:val="32"/>
        </w:rPr>
        <w:t>23</w:t>
      </w:r>
      <w:r>
        <w:rPr>
          <w:rFonts w:hint="eastAsia" w:ascii="Times New Roman" w:hAnsi="仿宋" w:eastAsia="仿宋" w:cs="Times New Roman"/>
          <w:color w:val="000000" w:themeColor="text1"/>
          <w:sz w:val="32"/>
          <w:szCs w:val="32"/>
        </w:rPr>
        <w:t>年，</w:t>
      </w:r>
      <w:r>
        <w:rPr>
          <w:rFonts w:ascii="Times New Roman" w:hAnsi="仿宋" w:eastAsia="仿宋" w:cs="Times New Roman"/>
          <w:color w:val="000000" w:themeColor="text1"/>
          <w:sz w:val="32"/>
          <w:szCs w:val="32"/>
        </w:rPr>
        <w:t>3</w:t>
      </w:r>
      <w:r>
        <w:rPr>
          <w:rFonts w:hint="eastAsia" w:ascii="Times New Roman" w:hAnsi="仿宋" w:eastAsia="仿宋" w:cs="Times New Roman"/>
          <w:color w:val="000000" w:themeColor="text1"/>
          <w:sz w:val="32"/>
          <w:szCs w:val="32"/>
        </w:rPr>
        <w:t>年内实施完毕，其中：20</w:t>
      </w:r>
      <w:r>
        <w:rPr>
          <w:rFonts w:ascii="Times New Roman" w:hAnsi="仿宋" w:eastAsia="仿宋" w:cs="Times New Roman"/>
          <w:color w:val="000000" w:themeColor="text1"/>
          <w:sz w:val="32"/>
          <w:szCs w:val="32"/>
        </w:rPr>
        <w:t>21</w:t>
      </w:r>
      <w:r>
        <w:rPr>
          <w:rFonts w:hint="eastAsia" w:ascii="Times New Roman" w:hAnsi="仿宋" w:eastAsia="仿宋" w:cs="Times New Roman"/>
          <w:color w:val="000000" w:themeColor="text1"/>
          <w:sz w:val="32"/>
          <w:szCs w:val="32"/>
        </w:rPr>
        <w:t>年实施面积</w:t>
      </w:r>
      <w:r>
        <w:rPr>
          <w:rFonts w:ascii="Times New Roman" w:hAnsi="仿宋" w:eastAsia="仿宋" w:cs="Times New Roman"/>
          <w:color w:val="000000" w:themeColor="text1"/>
          <w:sz w:val="32"/>
          <w:szCs w:val="32"/>
        </w:rPr>
        <w:t>11.5095</w:t>
      </w:r>
      <w:r>
        <w:rPr>
          <w:rFonts w:hint="eastAsia" w:ascii="Times New Roman" w:hAnsi="仿宋" w:eastAsia="仿宋" w:cs="Times New Roman"/>
          <w:color w:val="000000" w:themeColor="text1"/>
          <w:sz w:val="32"/>
          <w:szCs w:val="32"/>
        </w:rPr>
        <w:t>公顷，完成比例</w:t>
      </w:r>
      <w:r>
        <w:rPr>
          <w:rFonts w:ascii="Times New Roman" w:hAnsi="仿宋" w:eastAsia="仿宋" w:cs="Times New Roman"/>
          <w:color w:val="000000" w:themeColor="text1"/>
          <w:sz w:val="32"/>
          <w:szCs w:val="32"/>
        </w:rPr>
        <w:t>20.59%</w:t>
      </w:r>
      <w:r>
        <w:rPr>
          <w:rFonts w:hint="eastAsia" w:ascii="Times New Roman" w:hAnsi="仿宋" w:eastAsia="仿宋" w:cs="Times New Roman"/>
          <w:color w:val="000000" w:themeColor="text1"/>
          <w:sz w:val="32"/>
          <w:szCs w:val="32"/>
        </w:rPr>
        <w:t>；20</w:t>
      </w:r>
      <w:r>
        <w:rPr>
          <w:rFonts w:ascii="Times New Roman" w:hAnsi="仿宋" w:eastAsia="仿宋" w:cs="Times New Roman"/>
          <w:color w:val="000000" w:themeColor="text1"/>
          <w:sz w:val="32"/>
          <w:szCs w:val="32"/>
        </w:rPr>
        <w:t>22</w:t>
      </w:r>
      <w:r>
        <w:rPr>
          <w:rFonts w:hint="eastAsia" w:ascii="Times New Roman" w:hAnsi="仿宋" w:eastAsia="仿宋" w:cs="Times New Roman"/>
          <w:color w:val="000000" w:themeColor="text1"/>
          <w:sz w:val="32"/>
          <w:szCs w:val="32"/>
        </w:rPr>
        <w:t>年实施面积</w:t>
      </w:r>
      <w:r>
        <w:rPr>
          <w:rFonts w:ascii="Times New Roman" w:hAnsi="仿宋" w:eastAsia="仿宋" w:cs="Times New Roman"/>
          <w:color w:val="000000" w:themeColor="text1"/>
          <w:sz w:val="32"/>
          <w:szCs w:val="32"/>
        </w:rPr>
        <w:t>13.3497</w:t>
      </w:r>
      <w:r>
        <w:rPr>
          <w:rFonts w:hint="eastAsia" w:ascii="Times New Roman" w:hAnsi="仿宋" w:eastAsia="仿宋" w:cs="Times New Roman"/>
          <w:color w:val="000000" w:themeColor="text1"/>
          <w:sz w:val="32"/>
          <w:szCs w:val="32"/>
        </w:rPr>
        <w:t>公顷，完成比例</w:t>
      </w:r>
      <w:r>
        <w:rPr>
          <w:rFonts w:ascii="Times New Roman" w:hAnsi="仿宋" w:eastAsia="仿宋" w:cs="Times New Roman"/>
          <w:color w:val="000000" w:themeColor="text1"/>
          <w:sz w:val="32"/>
          <w:szCs w:val="32"/>
        </w:rPr>
        <w:t>23.88%</w:t>
      </w:r>
      <w:r>
        <w:rPr>
          <w:rFonts w:hint="eastAsia" w:ascii="Times New Roman" w:hAnsi="仿宋" w:eastAsia="仿宋" w:cs="Times New Roman"/>
          <w:color w:val="000000" w:themeColor="text1"/>
          <w:sz w:val="32"/>
          <w:szCs w:val="32"/>
        </w:rPr>
        <w:t>；20</w:t>
      </w:r>
      <w:r>
        <w:rPr>
          <w:rFonts w:ascii="Times New Roman" w:hAnsi="仿宋" w:eastAsia="仿宋" w:cs="Times New Roman"/>
          <w:color w:val="000000" w:themeColor="text1"/>
          <w:sz w:val="32"/>
          <w:szCs w:val="32"/>
        </w:rPr>
        <w:t>23</w:t>
      </w:r>
      <w:r>
        <w:rPr>
          <w:rFonts w:hint="eastAsia" w:ascii="Times New Roman" w:hAnsi="仿宋" w:eastAsia="仿宋" w:cs="Times New Roman"/>
          <w:color w:val="000000" w:themeColor="text1"/>
          <w:sz w:val="32"/>
          <w:szCs w:val="32"/>
        </w:rPr>
        <w:t>年实施面积</w:t>
      </w:r>
      <w:r>
        <w:rPr>
          <w:rFonts w:ascii="Times New Roman" w:hAnsi="仿宋" w:eastAsia="仿宋" w:cs="Times New Roman"/>
          <w:color w:val="000000" w:themeColor="text1"/>
          <w:sz w:val="32"/>
          <w:szCs w:val="32"/>
        </w:rPr>
        <w:t>31.0437</w:t>
      </w:r>
      <w:r>
        <w:rPr>
          <w:rFonts w:hint="eastAsia" w:ascii="Times New Roman" w:hAnsi="仿宋" w:eastAsia="仿宋" w:cs="Times New Roman"/>
          <w:color w:val="000000" w:themeColor="text1"/>
          <w:sz w:val="32"/>
          <w:szCs w:val="32"/>
        </w:rPr>
        <w:t>公顷，完成比例</w:t>
      </w:r>
      <w:r>
        <w:rPr>
          <w:rFonts w:ascii="Times New Roman" w:hAnsi="仿宋" w:eastAsia="仿宋" w:cs="Times New Roman"/>
          <w:color w:val="000000" w:themeColor="text1"/>
          <w:sz w:val="32"/>
          <w:szCs w:val="32"/>
        </w:rPr>
        <w:t>55.53 %</w:t>
      </w:r>
      <w:r>
        <w:rPr>
          <w:rFonts w:hint="eastAsia" w:ascii="Times New Roman" w:hAnsi="仿宋" w:eastAsia="仿宋" w:cs="Times New Roman"/>
          <w:color w:val="000000" w:themeColor="text1"/>
          <w:sz w:val="32"/>
          <w:szCs w:val="32"/>
        </w:rPr>
        <w:t>。</w:t>
      </w:r>
    </w:p>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101" w:name="_Toc10594"/>
      <w:bookmarkStart w:id="102" w:name="_Toc69542959"/>
      <w:r>
        <w:rPr>
          <w:rFonts w:hint="eastAsia" w:ascii="Times New Roman" w:hAnsi="黑体" w:eastAsia="黑体" w:cs="Times New Roman"/>
          <w:b w:val="0"/>
          <w:color w:val="000000" w:themeColor="text1"/>
          <w:sz w:val="32"/>
          <w:szCs w:val="32"/>
        </w:rPr>
        <w:t>七、合规性分析</w:t>
      </w:r>
      <w:bookmarkEnd w:id="97"/>
      <w:bookmarkEnd w:id="98"/>
      <w:bookmarkEnd w:id="99"/>
      <w:bookmarkEnd w:id="100"/>
      <w:bookmarkEnd w:id="101"/>
      <w:bookmarkEnd w:id="102"/>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03" w:name="_Toc69511838"/>
      <w:bookmarkStart w:id="104" w:name="_Toc61179732"/>
      <w:bookmarkStart w:id="105" w:name="_Toc69511873"/>
      <w:bookmarkStart w:id="106" w:name="_Toc23997"/>
      <w:bookmarkStart w:id="107" w:name="_Toc69542960"/>
      <w:r>
        <w:rPr>
          <w:rFonts w:hint="eastAsia" w:ascii="Times New Roman" w:hAnsi="Arial" w:eastAsia="黑体" w:cs="Times New Roman"/>
          <w:b w:val="0"/>
          <w:color w:val="000000" w:themeColor="text1"/>
          <w:kern w:val="2"/>
          <w:sz w:val="32"/>
          <w:szCs w:val="32"/>
        </w:rPr>
        <w:t>（一）</w:t>
      </w:r>
      <w:bookmarkEnd w:id="103"/>
      <w:bookmarkEnd w:id="104"/>
      <w:bookmarkEnd w:id="105"/>
      <w:r>
        <w:rPr>
          <w:rFonts w:hint="eastAsia" w:ascii="Times New Roman" w:hAnsi="Arial" w:eastAsia="黑体" w:cs="Times New Roman"/>
          <w:b w:val="0"/>
          <w:color w:val="000000" w:themeColor="text1"/>
          <w:kern w:val="2"/>
          <w:sz w:val="32"/>
          <w:szCs w:val="32"/>
        </w:rPr>
        <w:t>国土</w:t>
      </w:r>
      <w:r>
        <w:rPr>
          <w:rFonts w:ascii="Times New Roman" w:hAnsi="Arial" w:eastAsia="黑体" w:cs="Times New Roman"/>
          <w:b w:val="0"/>
          <w:color w:val="000000" w:themeColor="text1"/>
          <w:kern w:val="2"/>
          <w:sz w:val="32"/>
          <w:szCs w:val="32"/>
        </w:rPr>
        <w:t>空间规划</w:t>
      </w:r>
      <w:bookmarkEnd w:id="106"/>
      <w:bookmarkEnd w:id="107"/>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根据《三明市</w:t>
      </w:r>
      <w:r>
        <w:rPr>
          <w:rFonts w:ascii="Times New Roman" w:hAnsi="仿宋" w:eastAsia="仿宋" w:cs="Times New Roman"/>
          <w:color w:val="000000" w:themeColor="text1"/>
          <w:sz w:val="32"/>
          <w:szCs w:val="32"/>
        </w:rPr>
        <w:t>土地利用总体规划（</w:t>
      </w:r>
      <w:r>
        <w:rPr>
          <w:rFonts w:hint="eastAsia" w:ascii="Times New Roman" w:hAnsi="仿宋" w:eastAsia="仿宋" w:cs="Times New Roman"/>
          <w:color w:val="000000" w:themeColor="text1"/>
          <w:sz w:val="32"/>
          <w:szCs w:val="32"/>
        </w:rPr>
        <w:t>2006-2020</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（调整完善）》，本次成片开发</w:t>
      </w:r>
      <w:r>
        <w:rPr>
          <w:rFonts w:ascii="Times New Roman" w:hAnsi="仿宋" w:eastAsia="仿宋" w:cs="Times New Roman"/>
          <w:color w:val="000000" w:themeColor="text1"/>
          <w:sz w:val="32"/>
          <w:szCs w:val="32"/>
        </w:rPr>
        <w:t>用地均在</w:t>
      </w:r>
      <w:r>
        <w:rPr>
          <w:rFonts w:hint="eastAsia" w:ascii="Times New Roman" w:hAnsi="仿宋" w:eastAsia="仿宋" w:cs="Times New Roman"/>
          <w:color w:val="000000" w:themeColor="text1"/>
          <w:sz w:val="32"/>
          <w:szCs w:val="32"/>
        </w:rPr>
        <w:t>土地利用总体规划确定的</w:t>
      </w:r>
      <w:r>
        <w:rPr>
          <w:rFonts w:ascii="Times New Roman" w:hAnsi="仿宋" w:eastAsia="仿宋" w:cs="Times New Roman"/>
          <w:color w:val="000000" w:themeColor="text1"/>
          <w:sz w:val="32"/>
          <w:szCs w:val="32"/>
        </w:rPr>
        <w:t>允许建设区</w:t>
      </w:r>
      <w:r>
        <w:rPr>
          <w:rFonts w:hint="eastAsia" w:ascii="Times New Roman" w:hAnsi="仿宋" w:eastAsia="仿宋" w:cs="Times New Roman"/>
          <w:color w:val="000000" w:themeColor="text1"/>
          <w:sz w:val="32"/>
          <w:szCs w:val="32"/>
        </w:rPr>
        <w:t>和有条件</w:t>
      </w:r>
      <w:r>
        <w:rPr>
          <w:rFonts w:ascii="Times New Roman" w:hAnsi="仿宋" w:eastAsia="仿宋" w:cs="Times New Roman"/>
          <w:color w:val="000000" w:themeColor="text1"/>
          <w:sz w:val="32"/>
          <w:szCs w:val="32"/>
        </w:rPr>
        <w:t>建设区，</w:t>
      </w:r>
      <w:r>
        <w:rPr>
          <w:rFonts w:hint="eastAsia" w:ascii="Times New Roman" w:hAnsi="仿宋" w:eastAsia="仿宋" w:cs="Times New Roman"/>
          <w:color w:val="000000" w:themeColor="text1"/>
          <w:sz w:val="32"/>
          <w:szCs w:val="32"/>
        </w:rPr>
        <w:t>未涉及限制建设区和禁止建设区，符合三明市土地利用总体规划。</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在编《三明市国土空间总体规划（2020-2035）》已将本方案开发范围纳入国土空间规划确定的城镇开发边界内的集中建设区，并符合规划管控要求</w:t>
      </w:r>
      <w:r>
        <w:rPr>
          <w:rFonts w:ascii="Times New Roman" w:hAnsi="仿宋" w:eastAsia="仿宋" w:cs="Times New Roman"/>
          <w:color w:val="000000" w:themeColor="text1"/>
          <w:sz w:val="32"/>
          <w:szCs w:val="32"/>
        </w:rPr>
        <w:t>。</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08" w:name="_Toc61179733"/>
      <w:bookmarkStart w:id="109" w:name="_Toc69511839"/>
      <w:bookmarkStart w:id="110" w:name="_Toc69542961"/>
      <w:bookmarkStart w:id="111" w:name="_Toc69511874"/>
      <w:bookmarkStart w:id="112" w:name="_Toc7992"/>
      <w:r>
        <w:rPr>
          <w:rFonts w:hint="eastAsia" w:ascii="Times New Roman" w:hAnsi="Arial" w:eastAsia="黑体" w:cs="Times New Roman"/>
          <w:b w:val="0"/>
          <w:color w:val="000000" w:themeColor="text1"/>
          <w:kern w:val="2"/>
          <w:sz w:val="32"/>
          <w:szCs w:val="32"/>
        </w:rPr>
        <w:t>（二）国民经济和社会发展规划、年度计划</w:t>
      </w:r>
      <w:bookmarkEnd w:id="108"/>
      <w:bookmarkEnd w:id="109"/>
      <w:bookmarkEnd w:id="110"/>
      <w:bookmarkEnd w:id="111"/>
      <w:bookmarkEnd w:id="112"/>
    </w:p>
    <w:p>
      <w:pPr>
        <w:ind w:firstLine="640" w:firstLineChars="200"/>
        <w:rPr>
          <w:rFonts w:ascii="Times New Roman" w:hAnsi="仿宋" w:eastAsia="仿宋" w:cs="Times New Roman"/>
          <w:color w:val="000000" w:themeColor="text1"/>
          <w:sz w:val="32"/>
          <w:szCs w:val="32"/>
        </w:rPr>
      </w:pPr>
      <w:bookmarkStart w:id="113" w:name="_Toc61179734"/>
      <w:r>
        <w:rPr>
          <w:rFonts w:hint="eastAsia" w:ascii="Times New Roman" w:hAnsi="仿宋" w:eastAsia="仿宋" w:cs="Times New Roman"/>
          <w:color w:val="000000" w:themeColor="text1"/>
          <w:sz w:val="32"/>
          <w:szCs w:val="32"/>
        </w:rPr>
        <w:t>《三明市国民经济和社会发展第十四个五年规划和二〇三五年远景目标纲要》中提出发展壮大包含“钢铁与装备制造产业”在内的主导产业，明确“钢铁与装备制造业产业，发挥三钢集团、海西重汽等龙头企业带动作用，推进钢铁产业链延伸，壮大整车整机制造规模，提升智能制造水平，打造绿色高端钢铁生产基地和国家级高端绿色装备制造产业集聚区”。</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《三明市梅列区国民经济和社会发展第十四个五年规划和二〇三五年远景目标纲要》（征求</w:t>
      </w:r>
      <w:r>
        <w:rPr>
          <w:rFonts w:ascii="Times New Roman" w:hAnsi="仿宋" w:eastAsia="仿宋" w:cs="Times New Roman"/>
          <w:color w:val="000000" w:themeColor="text1"/>
          <w:sz w:val="32"/>
          <w:szCs w:val="32"/>
        </w:rPr>
        <w:t>意见稿</w:t>
      </w:r>
      <w:r>
        <w:rPr>
          <w:rFonts w:hint="eastAsia" w:ascii="Times New Roman" w:hAnsi="仿宋" w:eastAsia="仿宋" w:cs="Times New Roman"/>
          <w:color w:val="000000" w:themeColor="text1"/>
          <w:sz w:val="32"/>
          <w:szCs w:val="32"/>
        </w:rPr>
        <w:t>）提出“加快推进新型工业化”提质创新思路，做强包括</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钢铁与装备制造产业</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在内</w:t>
      </w:r>
      <w:r>
        <w:rPr>
          <w:rFonts w:ascii="Times New Roman" w:hAnsi="仿宋" w:eastAsia="仿宋" w:cs="Times New Roman"/>
          <w:color w:val="000000" w:themeColor="text1"/>
          <w:sz w:val="32"/>
          <w:szCs w:val="32"/>
        </w:rPr>
        <w:t>的</w:t>
      </w:r>
      <w:r>
        <w:rPr>
          <w:rFonts w:hint="eastAsia" w:ascii="Times New Roman" w:hAnsi="仿宋" w:eastAsia="仿宋" w:cs="Times New Roman"/>
          <w:color w:val="000000" w:themeColor="text1"/>
          <w:sz w:val="32"/>
          <w:szCs w:val="32"/>
        </w:rPr>
        <w:t>两大支柱产业，推动高端装备产业园不断拓展，打造成为闽西南协同发展区产业协同示范园区，并逐步发展为高端铸件—机械加工—成套装备全产业链高端装备产业园。</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本成片开发</w:t>
      </w:r>
      <w:r>
        <w:rPr>
          <w:rFonts w:ascii="Times New Roman" w:hAnsi="仿宋" w:eastAsia="仿宋" w:cs="Times New Roman"/>
          <w:color w:val="000000" w:themeColor="text1"/>
          <w:sz w:val="32"/>
          <w:szCs w:val="32"/>
        </w:rPr>
        <w:t>符合</w:t>
      </w:r>
      <w:r>
        <w:rPr>
          <w:rFonts w:hint="eastAsia" w:ascii="Times New Roman" w:hAnsi="仿宋" w:eastAsia="仿宋" w:cs="Times New Roman"/>
          <w:color w:val="000000" w:themeColor="text1"/>
          <w:sz w:val="32"/>
          <w:szCs w:val="32"/>
        </w:rPr>
        <w:t>《三明市国民经济和社会发展第十四个五年规划和二〇三五年远景目标纲要》的发展定位、要求，符合《三明市梅列区国民经济和社会发展第十四个五年规划和二〇三五年远景目标纲要》（征求</w:t>
      </w:r>
      <w:r>
        <w:rPr>
          <w:rFonts w:ascii="Times New Roman" w:hAnsi="仿宋" w:eastAsia="仿宋" w:cs="Times New Roman"/>
          <w:color w:val="000000" w:themeColor="text1"/>
          <w:sz w:val="32"/>
          <w:szCs w:val="32"/>
        </w:rPr>
        <w:t>意见稿</w:t>
      </w:r>
      <w:r>
        <w:rPr>
          <w:rFonts w:hint="eastAsia" w:ascii="Times New Roman" w:hAnsi="仿宋" w:eastAsia="仿宋" w:cs="Times New Roman"/>
          <w:color w:val="000000" w:themeColor="text1"/>
          <w:sz w:val="32"/>
          <w:szCs w:val="32"/>
        </w:rPr>
        <w:t>）的发展要求，有利于完成规划目标、任务；本方案已纳入了202</w:t>
      </w:r>
      <w:r>
        <w:rPr>
          <w:rFonts w:ascii="Times New Roman" w:hAnsi="仿宋" w:eastAsia="仿宋" w:cs="Times New Roman"/>
          <w:color w:val="000000" w:themeColor="text1"/>
          <w:sz w:val="32"/>
          <w:szCs w:val="32"/>
        </w:rPr>
        <w:t>1</w:t>
      </w:r>
      <w:r>
        <w:rPr>
          <w:rFonts w:hint="eastAsia" w:ascii="Times New Roman" w:hAnsi="仿宋" w:eastAsia="仿宋" w:cs="Times New Roman"/>
          <w:color w:val="000000" w:themeColor="text1"/>
          <w:sz w:val="32"/>
          <w:szCs w:val="32"/>
        </w:rPr>
        <w:t>年三明市国民经济和社会发展年度计划草案。</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14" w:name="_Toc69542962"/>
      <w:bookmarkStart w:id="115" w:name="_Toc19733"/>
      <w:bookmarkStart w:id="116" w:name="_Toc69511875"/>
      <w:bookmarkStart w:id="117" w:name="_Toc69511840"/>
      <w:r>
        <w:rPr>
          <w:rFonts w:hint="eastAsia" w:ascii="Times New Roman" w:hAnsi="Arial" w:eastAsia="黑体" w:cs="Times New Roman"/>
          <w:b w:val="0"/>
          <w:color w:val="000000" w:themeColor="text1"/>
          <w:kern w:val="2"/>
          <w:sz w:val="32"/>
          <w:szCs w:val="32"/>
        </w:rPr>
        <w:t>（三）</w:t>
      </w:r>
      <w:bookmarkEnd w:id="113"/>
      <w:r>
        <w:rPr>
          <w:rFonts w:hint="eastAsia" w:ascii="Times New Roman" w:hAnsi="Arial" w:eastAsia="黑体" w:cs="Times New Roman"/>
          <w:b w:val="0"/>
          <w:color w:val="000000" w:themeColor="text1"/>
          <w:kern w:val="2"/>
          <w:sz w:val="32"/>
          <w:szCs w:val="32"/>
        </w:rPr>
        <w:t>占用永久基本农田和其他法律法规规定不允许占用或开发的</w:t>
      </w:r>
      <w:bookmarkEnd w:id="114"/>
      <w:bookmarkEnd w:id="115"/>
      <w:bookmarkEnd w:id="116"/>
      <w:bookmarkEnd w:id="117"/>
      <w:r>
        <w:rPr>
          <w:rFonts w:hint="eastAsia" w:ascii="Times New Roman" w:hAnsi="Arial" w:eastAsia="黑体" w:cs="Times New Roman"/>
          <w:b w:val="0"/>
          <w:color w:val="000000" w:themeColor="text1"/>
          <w:kern w:val="2"/>
          <w:sz w:val="32"/>
          <w:szCs w:val="32"/>
        </w:rPr>
        <w:t>区域</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本方案未占用永久基本农田、生态保护红线和其他法律法规规定不允许占用或开发的区域。</w:t>
      </w:r>
    </w:p>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118" w:name="_Toc704"/>
      <w:bookmarkStart w:id="119" w:name="_Toc69511876"/>
      <w:bookmarkStart w:id="120" w:name="_Toc69511841"/>
      <w:bookmarkStart w:id="121" w:name="_Toc69542963"/>
      <w:bookmarkStart w:id="122" w:name="_Toc65338318"/>
      <w:r>
        <w:rPr>
          <w:rFonts w:hint="eastAsia" w:ascii="Times New Roman" w:hAnsi="黑体" w:eastAsia="黑体" w:cs="Times New Roman"/>
          <w:b w:val="0"/>
          <w:color w:val="000000" w:themeColor="text1"/>
          <w:sz w:val="32"/>
          <w:szCs w:val="32"/>
        </w:rPr>
        <w:t>八、土地成片开发效益评估</w:t>
      </w:r>
      <w:bookmarkEnd w:id="118"/>
      <w:bookmarkEnd w:id="119"/>
      <w:bookmarkEnd w:id="120"/>
      <w:bookmarkEnd w:id="121"/>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本项目的建设将对三明市梅列区城市建设和社会发展将产生积极影响，将极大提高当地产业发展水平，对社会经济的可持续发展起到良好的推动作用。</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23" w:name="_Toc69542964"/>
      <w:bookmarkStart w:id="124" w:name="_Toc8555"/>
      <w:bookmarkStart w:id="125" w:name="_Toc69511842"/>
      <w:bookmarkStart w:id="126" w:name="_Toc69511877"/>
      <w:r>
        <w:rPr>
          <w:rFonts w:hint="eastAsia" w:ascii="Times New Roman" w:hAnsi="Arial" w:eastAsia="黑体" w:cs="Times New Roman"/>
          <w:b w:val="0"/>
          <w:color w:val="000000" w:themeColor="text1"/>
          <w:kern w:val="2"/>
          <w:sz w:val="32"/>
          <w:szCs w:val="32"/>
        </w:rPr>
        <w:t>（一）</w:t>
      </w:r>
      <w:r>
        <w:rPr>
          <w:rFonts w:ascii="Times New Roman" w:hAnsi="Arial" w:eastAsia="黑体" w:cs="Times New Roman"/>
          <w:b w:val="0"/>
          <w:color w:val="000000" w:themeColor="text1"/>
          <w:kern w:val="2"/>
          <w:sz w:val="32"/>
          <w:szCs w:val="32"/>
        </w:rPr>
        <w:t>土地利用效益</w:t>
      </w:r>
      <w:bookmarkEnd w:id="123"/>
      <w:bookmarkEnd w:id="124"/>
      <w:bookmarkEnd w:id="125"/>
      <w:bookmarkEnd w:id="126"/>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本方案通过科学配置土地资源，合理安排建设用地规模、结构和布局，将泉三高端装备产业园区建设成配套服务设施完善、优势产业聚集的装备制造产业园，预计开发投资强度不低于</w:t>
      </w:r>
      <w:r>
        <w:rPr>
          <w:rFonts w:ascii="Times New Roman" w:hAnsi="仿宋" w:eastAsia="仿宋" w:cs="Times New Roman"/>
          <w:color w:val="000000" w:themeColor="text1"/>
          <w:sz w:val="32"/>
          <w:szCs w:val="32"/>
        </w:rPr>
        <w:t>5400</w:t>
      </w:r>
      <w:r>
        <w:rPr>
          <w:rFonts w:hint="eastAsia" w:ascii="Times New Roman" w:hAnsi="仿宋" w:eastAsia="仿宋" w:cs="Times New Roman"/>
          <w:color w:val="000000" w:themeColor="text1"/>
          <w:sz w:val="32"/>
          <w:szCs w:val="32"/>
        </w:rPr>
        <w:t>万元/公顷，投资</w:t>
      </w:r>
      <w:r>
        <w:rPr>
          <w:rFonts w:ascii="Times New Roman" w:hAnsi="仿宋" w:eastAsia="仿宋" w:cs="Times New Roman"/>
          <w:color w:val="000000" w:themeColor="text1"/>
          <w:sz w:val="32"/>
          <w:szCs w:val="32"/>
        </w:rPr>
        <w:t>强度明显高于</w:t>
      </w:r>
      <w:r>
        <w:rPr>
          <w:rFonts w:hint="eastAsia" w:ascii="Times New Roman" w:hAnsi="仿宋" w:eastAsia="仿宋" w:cs="Times New Roman"/>
          <w:color w:val="000000" w:themeColor="text1"/>
          <w:sz w:val="32"/>
          <w:szCs w:val="32"/>
        </w:rPr>
        <w:t>《福建省</w:t>
      </w:r>
      <w:r>
        <w:rPr>
          <w:rFonts w:ascii="Times New Roman" w:hAnsi="仿宋" w:eastAsia="仿宋" w:cs="Times New Roman"/>
          <w:color w:val="000000" w:themeColor="text1"/>
          <w:sz w:val="32"/>
          <w:szCs w:val="32"/>
        </w:rPr>
        <w:t>自然资源厅</w:t>
      </w:r>
      <w:r>
        <w:rPr>
          <w:rFonts w:hint="eastAsia" w:ascii="Times New Roman" w:hAnsi="仿宋" w:eastAsia="仿宋" w:cs="Times New Roman"/>
          <w:color w:val="000000" w:themeColor="text1"/>
          <w:sz w:val="32"/>
          <w:szCs w:val="32"/>
        </w:rPr>
        <w:t xml:space="preserve"> 福建省</w:t>
      </w:r>
      <w:r>
        <w:rPr>
          <w:rFonts w:ascii="Times New Roman" w:hAnsi="仿宋" w:eastAsia="仿宋" w:cs="Times New Roman"/>
          <w:color w:val="000000" w:themeColor="text1"/>
          <w:sz w:val="32"/>
          <w:szCs w:val="32"/>
        </w:rPr>
        <w:t>商务厅</w:t>
      </w:r>
      <w:r>
        <w:rPr>
          <w:rFonts w:hint="eastAsia" w:ascii="Times New Roman" w:hAnsi="仿宋" w:eastAsia="仿宋" w:cs="Times New Roman"/>
          <w:color w:val="000000" w:themeColor="text1"/>
          <w:sz w:val="32"/>
          <w:szCs w:val="32"/>
        </w:rPr>
        <w:t>〈关于</w:t>
      </w:r>
      <w:r>
        <w:rPr>
          <w:rFonts w:ascii="Times New Roman" w:hAnsi="仿宋" w:eastAsia="仿宋" w:cs="Times New Roman"/>
          <w:color w:val="000000" w:themeColor="text1"/>
          <w:sz w:val="32"/>
          <w:szCs w:val="32"/>
        </w:rPr>
        <w:t>严格土地节约集约利用促进开发区高质量发展十条措施的通知</w:t>
      </w:r>
      <w:r>
        <w:rPr>
          <w:rFonts w:hint="eastAsia" w:ascii="Times New Roman" w:hAnsi="仿宋" w:eastAsia="仿宋" w:cs="Times New Roman"/>
          <w:color w:val="000000" w:themeColor="text1"/>
          <w:sz w:val="32"/>
          <w:szCs w:val="32"/>
        </w:rPr>
        <w:t>〉》中的山区省级</w:t>
      </w:r>
      <w:r>
        <w:rPr>
          <w:rFonts w:ascii="Times New Roman" w:hAnsi="仿宋" w:eastAsia="仿宋" w:cs="Times New Roman"/>
          <w:color w:val="000000" w:themeColor="text1"/>
          <w:sz w:val="32"/>
          <w:szCs w:val="32"/>
        </w:rPr>
        <w:t>开发区投资强度不低于</w:t>
      </w:r>
      <w:r>
        <w:rPr>
          <w:rFonts w:hint="eastAsia" w:ascii="Times New Roman" w:hAnsi="仿宋" w:eastAsia="仿宋" w:cs="Times New Roman"/>
          <w:color w:val="000000" w:themeColor="text1"/>
          <w:sz w:val="32"/>
          <w:szCs w:val="32"/>
        </w:rPr>
        <w:t>220万元/亩</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330</w:t>
      </w:r>
      <w:r>
        <w:rPr>
          <w:rFonts w:ascii="Times New Roman" w:hAnsi="仿宋" w:eastAsia="仿宋" w:cs="Times New Roman"/>
          <w:color w:val="000000" w:themeColor="text1"/>
          <w:sz w:val="32"/>
          <w:szCs w:val="32"/>
        </w:rPr>
        <w:t>0</w:t>
      </w:r>
      <w:r>
        <w:rPr>
          <w:rFonts w:hint="eastAsia" w:ascii="Times New Roman" w:hAnsi="仿宋" w:eastAsia="仿宋" w:cs="Times New Roman"/>
          <w:color w:val="000000" w:themeColor="text1"/>
          <w:sz w:val="32"/>
          <w:szCs w:val="32"/>
        </w:rPr>
        <w:t>万元/公顷</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的</w:t>
      </w:r>
      <w:r>
        <w:rPr>
          <w:rFonts w:ascii="Times New Roman" w:hAnsi="仿宋" w:eastAsia="仿宋" w:cs="Times New Roman"/>
          <w:color w:val="000000" w:themeColor="text1"/>
          <w:sz w:val="32"/>
          <w:szCs w:val="32"/>
        </w:rPr>
        <w:t>投资强度要求，</w:t>
      </w:r>
      <w:r>
        <w:rPr>
          <w:rFonts w:hint="eastAsia" w:ascii="Times New Roman" w:hAnsi="仿宋" w:eastAsia="仿宋" w:cs="Times New Roman"/>
          <w:color w:val="000000" w:themeColor="text1"/>
          <w:sz w:val="32"/>
          <w:szCs w:val="32"/>
        </w:rPr>
        <w:t>将有效增加单位土地产出，提升土地利用效益。</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本方案将强化土地集中管理，按实施计划供地，提高现有土地使用效益，实现土地利用由粗放型向集约型转变。</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27" w:name="_Toc19985"/>
      <w:bookmarkStart w:id="128" w:name="_Toc69511843"/>
      <w:bookmarkStart w:id="129" w:name="_Toc69542965"/>
      <w:bookmarkStart w:id="130" w:name="_Toc69511878"/>
      <w:r>
        <w:rPr>
          <w:rFonts w:hint="eastAsia" w:ascii="Times New Roman" w:hAnsi="Arial" w:eastAsia="黑体" w:cs="Times New Roman"/>
          <w:b w:val="0"/>
          <w:color w:val="000000" w:themeColor="text1"/>
          <w:kern w:val="2"/>
          <w:sz w:val="32"/>
          <w:szCs w:val="32"/>
        </w:rPr>
        <w:t>（二）经济效益</w:t>
      </w:r>
      <w:bookmarkEnd w:id="127"/>
      <w:bookmarkEnd w:id="128"/>
      <w:bookmarkEnd w:id="129"/>
      <w:bookmarkEnd w:id="130"/>
    </w:p>
    <w:p>
      <w:pPr>
        <w:spacing w:line="360" w:lineRule="auto"/>
        <w:ind w:firstLine="640" w:firstLineChars="200"/>
        <w:rPr>
          <w:rFonts w:ascii="Times New Roman" w:hAnsi="仿宋" w:eastAsia="仿宋" w:cs="Times New Roman"/>
          <w:color w:val="000000" w:themeColor="text1"/>
          <w:sz w:val="32"/>
          <w:szCs w:val="32"/>
        </w:rPr>
      </w:pPr>
      <w:r>
        <w:rPr>
          <w:rFonts w:hint="eastAsia" w:ascii="仿宋" w:hAnsi="仿宋" w:eastAsia="仿宋" w:cs="仿宋"/>
          <w:color w:val="000000" w:themeColor="text1"/>
          <w:sz w:val="32"/>
          <w:szCs w:val="32"/>
        </w:rPr>
        <w:t>目前，泉三高端装备产业园区入驻10家企业总投资额约20亿元。</w:t>
      </w:r>
      <w:r>
        <w:rPr>
          <w:rFonts w:hint="eastAsia" w:ascii="Times New Roman" w:hAnsi="仿宋" w:eastAsia="仿宋" w:cs="Times New Roman"/>
          <w:color w:val="000000" w:themeColor="text1"/>
          <w:sz w:val="32"/>
          <w:szCs w:val="32"/>
        </w:rPr>
        <w:t>预估</w:t>
      </w:r>
      <w:r>
        <w:rPr>
          <w:rFonts w:ascii="Times New Roman" w:hAnsi="仿宋" w:eastAsia="仿宋" w:cs="Times New Roman"/>
          <w:color w:val="000000" w:themeColor="text1"/>
          <w:sz w:val="32"/>
          <w:szCs w:val="32"/>
        </w:rPr>
        <w:t>本方案</w:t>
      </w:r>
      <w:r>
        <w:rPr>
          <w:rFonts w:hint="eastAsia" w:ascii="Times New Roman" w:hAnsi="仿宋" w:eastAsia="仿宋" w:cs="Times New Roman"/>
          <w:color w:val="000000" w:themeColor="text1"/>
          <w:sz w:val="32"/>
          <w:szCs w:val="32"/>
        </w:rPr>
        <w:t>内拟建</w:t>
      </w:r>
      <w:r>
        <w:rPr>
          <w:rFonts w:ascii="Times New Roman" w:hAnsi="仿宋" w:eastAsia="仿宋" w:cs="Times New Roman"/>
          <w:color w:val="000000" w:themeColor="text1"/>
          <w:sz w:val="32"/>
          <w:szCs w:val="32"/>
        </w:rPr>
        <w:t>的</w:t>
      </w:r>
      <w:r>
        <w:rPr>
          <w:rFonts w:hint="eastAsia" w:ascii="仿宋" w:hAnsi="仿宋" w:eastAsia="仿宋" w:cs="仿宋"/>
          <w:color w:val="000000" w:themeColor="text1"/>
          <w:sz w:val="32"/>
          <w:szCs w:val="32"/>
        </w:rPr>
        <w:t>26个项目建成后总产值约65亿元，年纳税额约8亿元。</w:t>
      </w:r>
      <w:r>
        <w:rPr>
          <w:rFonts w:hint="eastAsia" w:ascii="Times New Roman" w:hAnsi="仿宋" w:eastAsia="仿宋" w:cs="Times New Roman"/>
          <w:color w:val="000000" w:themeColor="text1"/>
          <w:sz w:val="32"/>
          <w:szCs w:val="32"/>
        </w:rPr>
        <w:t>园区朝着国家级全产业链高端装备产业园区目标迈进。本次</w:t>
      </w:r>
      <w:r>
        <w:rPr>
          <w:rFonts w:ascii="Times New Roman" w:hAnsi="仿宋" w:eastAsia="仿宋" w:cs="Times New Roman"/>
          <w:color w:val="000000" w:themeColor="text1"/>
          <w:sz w:val="32"/>
          <w:szCs w:val="32"/>
        </w:rPr>
        <w:t>成片开发可以为三明市梅列区加快</w:t>
      </w:r>
      <w:r>
        <w:rPr>
          <w:rFonts w:hint="eastAsia" w:ascii="Times New Roman" w:hAnsi="仿宋" w:eastAsia="仿宋" w:cs="Times New Roman"/>
          <w:color w:val="000000" w:themeColor="text1"/>
          <w:sz w:val="32"/>
          <w:szCs w:val="32"/>
        </w:rPr>
        <w:t>形成新型</w:t>
      </w:r>
      <w:r>
        <w:rPr>
          <w:rFonts w:ascii="Times New Roman" w:hAnsi="仿宋" w:eastAsia="仿宋" w:cs="Times New Roman"/>
          <w:color w:val="000000" w:themeColor="text1"/>
          <w:sz w:val="32"/>
          <w:szCs w:val="32"/>
        </w:rPr>
        <w:t>装备制造产业集群提供用地保障</w:t>
      </w:r>
      <w:r>
        <w:rPr>
          <w:rFonts w:hint="eastAsia" w:ascii="Times New Roman" w:hAnsi="仿宋" w:eastAsia="仿宋" w:cs="Times New Roman"/>
          <w:color w:val="000000" w:themeColor="text1"/>
          <w:sz w:val="32"/>
          <w:szCs w:val="32"/>
        </w:rPr>
        <w:t>。</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成片开发的实施在促进产业发展的同时，也将带动周边发展，外部第三产业的发展将直接增加当地的就业机会，间接增加当地居民的人均可支配收入，带动当地消费水平的提升，提高人民的生活质量。成片开发的建设和投产有利于吸收当地农村剩余劳动力，降低城市就业压力，减轻政府负担；有利于消除社会不稳定因素，对稳定政治、</w:t>
      </w:r>
      <w:r>
        <w:rPr>
          <w:rFonts w:ascii="Times New Roman" w:hAnsi="仿宋" w:eastAsia="仿宋" w:cs="Times New Roman"/>
          <w:color w:val="000000" w:themeColor="text1"/>
          <w:sz w:val="32"/>
          <w:szCs w:val="32"/>
        </w:rPr>
        <w:t>社会大局，加强社会管理等有着重要意义。同时相关企业的生产消费和纳税可促进地方经济，增加政府财政收入。</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31" w:name="_Toc5919"/>
      <w:bookmarkStart w:id="132" w:name="_Toc69511844"/>
      <w:bookmarkStart w:id="133" w:name="_Toc69542966"/>
      <w:bookmarkStart w:id="134" w:name="_Toc69511879"/>
      <w:r>
        <w:rPr>
          <w:rFonts w:hint="eastAsia" w:ascii="Times New Roman" w:hAnsi="Arial" w:eastAsia="黑体" w:cs="Times New Roman"/>
          <w:b w:val="0"/>
          <w:color w:val="000000" w:themeColor="text1"/>
          <w:kern w:val="2"/>
          <w:sz w:val="32"/>
          <w:szCs w:val="32"/>
        </w:rPr>
        <w:t>（三）社会效益</w:t>
      </w:r>
      <w:bookmarkEnd w:id="131"/>
      <w:bookmarkEnd w:id="132"/>
      <w:bookmarkEnd w:id="133"/>
      <w:bookmarkEnd w:id="134"/>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1、项目</w:t>
      </w:r>
      <w:r>
        <w:rPr>
          <w:rFonts w:ascii="Times New Roman" w:hAnsi="仿宋" w:eastAsia="仿宋" w:cs="Times New Roman"/>
          <w:color w:val="000000" w:themeColor="text1"/>
          <w:sz w:val="32"/>
          <w:szCs w:val="32"/>
        </w:rPr>
        <w:t>建设对</w:t>
      </w:r>
      <w:r>
        <w:rPr>
          <w:rFonts w:hint="eastAsia" w:ascii="Times New Roman" w:hAnsi="仿宋" w:eastAsia="仿宋" w:cs="Times New Roman"/>
          <w:color w:val="000000" w:themeColor="text1"/>
          <w:sz w:val="32"/>
          <w:szCs w:val="32"/>
        </w:rPr>
        <w:t>装备</w:t>
      </w:r>
      <w:r>
        <w:rPr>
          <w:rFonts w:ascii="Times New Roman" w:hAnsi="仿宋" w:eastAsia="仿宋" w:cs="Times New Roman"/>
          <w:color w:val="000000" w:themeColor="text1"/>
          <w:sz w:val="32"/>
          <w:szCs w:val="32"/>
        </w:rPr>
        <w:t>产业发展的影响</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制造业是国民经济的主体，是科技创新的主战场，是立国之本、兴国之器、强国之基，</w:t>
      </w:r>
      <w:r>
        <w:rPr>
          <w:rFonts w:ascii="Times New Roman" w:hAnsi="仿宋" w:eastAsia="仿宋" w:cs="Times New Roman"/>
          <w:color w:val="000000" w:themeColor="text1"/>
          <w:sz w:val="32"/>
          <w:szCs w:val="32"/>
        </w:rPr>
        <w:t>现代化的装备制造业是决定国家在世界经济发展进程中保持自主地位的关键因素。福建</w:t>
      </w:r>
      <w:r>
        <w:rPr>
          <w:rFonts w:hint="eastAsia" w:ascii="Times New Roman" w:hAnsi="仿宋" w:eastAsia="仿宋" w:cs="Times New Roman"/>
          <w:color w:val="000000" w:themeColor="text1"/>
          <w:sz w:val="32"/>
          <w:szCs w:val="32"/>
        </w:rPr>
        <w:t>省人民政府高度重视</w:t>
      </w:r>
      <w:r>
        <w:rPr>
          <w:rFonts w:ascii="Times New Roman" w:hAnsi="仿宋" w:eastAsia="仿宋" w:cs="Times New Roman"/>
          <w:color w:val="000000" w:themeColor="text1"/>
          <w:sz w:val="32"/>
          <w:szCs w:val="32"/>
        </w:rPr>
        <w:t>高端装备产业发展，提出力争到2020年全省规模以上高端装备产业实现工业总产值达2750亿元，在全省装备制造业中的占比提高到25%左右。</w:t>
      </w:r>
      <w:r>
        <w:rPr>
          <w:rFonts w:hint="eastAsia" w:ascii="Times New Roman" w:hAnsi="仿宋" w:eastAsia="仿宋" w:cs="Times New Roman"/>
          <w:color w:val="000000" w:themeColor="text1"/>
          <w:sz w:val="32"/>
          <w:szCs w:val="32"/>
        </w:rPr>
        <w:t>福建梅列经济开发区作为省级经济开发区</w:t>
      </w:r>
      <w:r>
        <w:rPr>
          <w:rFonts w:ascii="Times New Roman" w:hAnsi="仿宋" w:eastAsia="仿宋" w:cs="Times New Roman"/>
          <w:color w:val="000000" w:themeColor="text1"/>
          <w:sz w:val="32"/>
          <w:szCs w:val="32"/>
        </w:rPr>
        <w:t>，在调整和振兴全省装备制造业的发展战略中肩负重要使命。</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项目建设将</w:t>
      </w:r>
      <w:r>
        <w:rPr>
          <w:rFonts w:ascii="Times New Roman" w:hAnsi="仿宋" w:eastAsia="仿宋" w:cs="Times New Roman"/>
          <w:color w:val="000000" w:themeColor="text1"/>
          <w:sz w:val="32"/>
          <w:szCs w:val="32"/>
        </w:rPr>
        <w:t>三明市优势资源充分调动，推动产业聚集发展，突出资源</w:t>
      </w:r>
      <w:r>
        <w:rPr>
          <w:rFonts w:hint="eastAsia" w:ascii="Times New Roman" w:hAnsi="仿宋" w:eastAsia="仿宋" w:cs="Times New Roman"/>
          <w:color w:val="000000" w:themeColor="text1"/>
          <w:sz w:val="32"/>
          <w:szCs w:val="32"/>
        </w:rPr>
        <w:t>往产业园</w:t>
      </w:r>
      <w:r>
        <w:rPr>
          <w:rFonts w:ascii="Times New Roman" w:hAnsi="仿宋" w:eastAsia="仿宋" w:cs="Times New Roman"/>
          <w:color w:val="000000" w:themeColor="text1"/>
          <w:sz w:val="32"/>
          <w:szCs w:val="32"/>
        </w:rPr>
        <w:t>聚集，通过政策扶持、资金奖励，鼓励</w:t>
      </w:r>
      <w:r>
        <w:rPr>
          <w:rFonts w:hint="eastAsia" w:ascii="Times New Roman" w:hAnsi="仿宋" w:eastAsia="仿宋" w:cs="Times New Roman"/>
          <w:color w:val="000000" w:themeColor="text1"/>
          <w:sz w:val="32"/>
          <w:szCs w:val="32"/>
        </w:rPr>
        <w:t>三明市乃至</w:t>
      </w:r>
      <w:r>
        <w:rPr>
          <w:rFonts w:ascii="Times New Roman" w:hAnsi="仿宋" w:eastAsia="仿宋" w:cs="Times New Roman"/>
          <w:color w:val="000000" w:themeColor="text1"/>
          <w:sz w:val="32"/>
          <w:szCs w:val="32"/>
        </w:rPr>
        <w:t>福建省内装备制造工业企业朝着</w:t>
      </w:r>
      <w:r>
        <w:rPr>
          <w:rFonts w:hint="eastAsia" w:ascii="Times New Roman" w:hAnsi="仿宋" w:eastAsia="仿宋" w:cs="Times New Roman"/>
          <w:color w:val="000000" w:themeColor="text1"/>
          <w:sz w:val="32"/>
          <w:szCs w:val="32"/>
        </w:rPr>
        <w:t>泉三高端装备产业园聚集。泉三高端装备产业园</w:t>
      </w:r>
      <w:r>
        <w:rPr>
          <w:rFonts w:ascii="Times New Roman" w:hAnsi="仿宋" w:eastAsia="仿宋" w:cs="Times New Roman"/>
          <w:color w:val="000000" w:themeColor="text1"/>
          <w:sz w:val="32"/>
          <w:szCs w:val="32"/>
        </w:rPr>
        <w:t>的发展建设，有利于三明市内装备产业资源集中，最大限度发挥资源优势、</w:t>
      </w:r>
      <w:r>
        <w:rPr>
          <w:rFonts w:hint="eastAsia" w:ascii="Times New Roman" w:hAnsi="仿宋" w:eastAsia="仿宋" w:cs="Times New Roman"/>
          <w:color w:val="000000" w:themeColor="text1"/>
          <w:sz w:val="32"/>
          <w:szCs w:val="32"/>
        </w:rPr>
        <w:t>平台</w:t>
      </w:r>
      <w:r>
        <w:rPr>
          <w:rFonts w:ascii="Times New Roman" w:hAnsi="仿宋" w:eastAsia="仿宋" w:cs="Times New Roman"/>
          <w:color w:val="000000" w:themeColor="text1"/>
          <w:sz w:val="32"/>
          <w:szCs w:val="32"/>
        </w:rPr>
        <w:t>优势，助力装备制造产业的发展。</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2、增加就业机会，提高当地居民收入水平</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从</w:t>
      </w:r>
      <w:r>
        <w:rPr>
          <w:rFonts w:ascii="Times New Roman" w:hAnsi="仿宋" w:eastAsia="仿宋" w:cs="Times New Roman"/>
          <w:color w:val="000000" w:themeColor="text1"/>
          <w:sz w:val="32"/>
          <w:szCs w:val="32"/>
        </w:rPr>
        <w:t>长远看，泉三高端装备产业园的建设、建成</w:t>
      </w:r>
      <w:r>
        <w:rPr>
          <w:rFonts w:hint="eastAsia" w:ascii="Times New Roman" w:hAnsi="仿宋" w:eastAsia="仿宋" w:cs="Times New Roman"/>
          <w:color w:val="000000" w:themeColor="text1"/>
          <w:sz w:val="32"/>
          <w:szCs w:val="32"/>
        </w:rPr>
        <w:t>和</w:t>
      </w:r>
      <w:r>
        <w:rPr>
          <w:rFonts w:ascii="Times New Roman" w:hAnsi="仿宋" w:eastAsia="仿宋" w:cs="Times New Roman"/>
          <w:color w:val="000000" w:themeColor="text1"/>
          <w:sz w:val="32"/>
          <w:szCs w:val="32"/>
        </w:rPr>
        <w:t>投产所带来的各种经济增长效应带来的就业促进效应是明显的，园区的建设带来的经济聚集扩散效应的显现</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产业的集结以及企业群的形成，将</w:t>
      </w:r>
      <w:r>
        <w:rPr>
          <w:rFonts w:hint="eastAsia" w:ascii="Times New Roman" w:hAnsi="仿宋" w:eastAsia="仿宋" w:cs="Times New Roman"/>
          <w:color w:val="000000" w:themeColor="text1"/>
          <w:sz w:val="32"/>
          <w:szCs w:val="32"/>
        </w:rPr>
        <w:t>创造</w:t>
      </w:r>
      <w:r>
        <w:rPr>
          <w:rFonts w:ascii="Times New Roman" w:hAnsi="仿宋" w:eastAsia="仿宋" w:cs="Times New Roman"/>
          <w:color w:val="000000" w:themeColor="text1"/>
          <w:sz w:val="32"/>
          <w:szCs w:val="32"/>
        </w:rPr>
        <w:t>更多的就业</w:t>
      </w:r>
      <w:r>
        <w:rPr>
          <w:rFonts w:hint="eastAsia" w:ascii="Times New Roman" w:hAnsi="仿宋" w:eastAsia="仿宋" w:cs="Times New Roman"/>
          <w:color w:val="000000" w:themeColor="text1"/>
          <w:sz w:val="32"/>
          <w:szCs w:val="32"/>
        </w:rPr>
        <w:t>岗位</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结合</w:t>
      </w:r>
      <w:r>
        <w:rPr>
          <w:rFonts w:ascii="Times New Roman" w:hAnsi="仿宋" w:eastAsia="仿宋" w:cs="Times New Roman"/>
          <w:color w:val="000000" w:themeColor="text1"/>
          <w:sz w:val="32"/>
          <w:szCs w:val="32"/>
        </w:rPr>
        <w:t>本片</w:t>
      </w:r>
      <w:r>
        <w:rPr>
          <w:rFonts w:hint="eastAsia" w:ascii="Times New Roman" w:hAnsi="仿宋" w:eastAsia="仿宋" w:cs="Times New Roman"/>
          <w:color w:val="000000" w:themeColor="text1"/>
          <w:sz w:val="32"/>
          <w:szCs w:val="32"/>
        </w:rPr>
        <w:t>区的</w:t>
      </w:r>
      <w:r>
        <w:rPr>
          <w:rFonts w:ascii="Times New Roman" w:hAnsi="仿宋" w:eastAsia="仿宋" w:cs="Times New Roman"/>
          <w:color w:val="000000" w:themeColor="text1"/>
          <w:sz w:val="32"/>
          <w:szCs w:val="32"/>
        </w:rPr>
        <w:t>产业特点，</w:t>
      </w:r>
      <w:r>
        <w:rPr>
          <w:rFonts w:hint="eastAsia" w:ascii="Times New Roman" w:hAnsi="仿宋" w:eastAsia="仿宋" w:cs="Times New Roman"/>
          <w:color w:val="000000" w:themeColor="text1"/>
          <w:sz w:val="32"/>
          <w:szCs w:val="32"/>
        </w:rPr>
        <w:t>参照</w:t>
      </w:r>
      <w:r>
        <w:rPr>
          <w:rFonts w:ascii="Times New Roman" w:hAnsi="仿宋" w:eastAsia="仿宋" w:cs="Times New Roman"/>
          <w:color w:val="000000" w:themeColor="text1"/>
          <w:sz w:val="32"/>
          <w:szCs w:val="32"/>
        </w:rPr>
        <w:t>国内相关园区</w:t>
      </w:r>
      <w:r>
        <w:rPr>
          <w:rFonts w:hint="eastAsia" w:ascii="Times New Roman" w:hAnsi="仿宋" w:eastAsia="仿宋" w:cs="Times New Roman"/>
          <w:color w:val="000000" w:themeColor="text1"/>
          <w:sz w:val="32"/>
          <w:szCs w:val="32"/>
        </w:rPr>
        <w:t>就业</w:t>
      </w:r>
      <w:r>
        <w:rPr>
          <w:rFonts w:ascii="Times New Roman" w:hAnsi="仿宋" w:eastAsia="仿宋" w:cs="Times New Roman"/>
          <w:color w:val="000000" w:themeColor="text1"/>
          <w:sz w:val="32"/>
          <w:szCs w:val="32"/>
        </w:rPr>
        <w:t>人口密度，</w:t>
      </w:r>
      <w:r>
        <w:rPr>
          <w:rFonts w:hint="eastAsia" w:ascii="Times New Roman" w:hAnsi="仿宋" w:eastAsia="仿宋" w:cs="Times New Roman"/>
          <w:color w:val="000000" w:themeColor="text1"/>
          <w:sz w:val="32"/>
          <w:szCs w:val="32"/>
        </w:rPr>
        <w:t>按就业人口密度为</w:t>
      </w:r>
      <w:r>
        <w:rPr>
          <w:rFonts w:ascii="Times New Roman" w:hAnsi="仿宋" w:eastAsia="仿宋" w:cs="Times New Roman"/>
          <w:color w:val="000000" w:themeColor="text1"/>
          <w:sz w:val="32"/>
          <w:szCs w:val="32"/>
        </w:rPr>
        <w:t>70</w:t>
      </w:r>
      <w:r>
        <w:rPr>
          <w:rFonts w:hint="eastAsia" w:ascii="Times New Roman" w:hAnsi="仿宋" w:eastAsia="仿宋" w:cs="Times New Roman"/>
          <w:color w:val="000000" w:themeColor="text1"/>
          <w:sz w:val="32"/>
          <w:szCs w:val="32"/>
        </w:rPr>
        <w:t>人</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公顷，片区</w:t>
      </w:r>
      <w:r>
        <w:rPr>
          <w:rFonts w:ascii="Times New Roman" w:hAnsi="仿宋" w:eastAsia="仿宋" w:cs="Times New Roman"/>
          <w:color w:val="000000" w:themeColor="text1"/>
          <w:sz w:val="32"/>
          <w:szCs w:val="32"/>
        </w:rPr>
        <w:t>可提供约3000</w:t>
      </w:r>
      <w:r>
        <w:rPr>
          <w:rFonts w:hint="eastAsia" w:ascii="Times New Roman" w:hAnsi="仿宋" w:eastAsia="仿宋" w:cs="Times New Roman"/>
          <w:color w:val="000000" w:themeColor="text1"/>
          <w:sz w:val="32"/>
          <w:szCs w:val="32"/>
        </w:rPr>
        <w:t>个</w:t>
      </w:r>
      <w:r>
        <w:rPr>
          <w:rFonts w:ascii="Times New Roman" w:hAnsi="仿宋" w:eastAsia="仿宋" w:cs="Times New Roman"/>
          <w:color w:val="000000" w:themeColor="text1"/>
          <w:sz w:val="32"/>
          <w:szCs w:val="32"/>
        </w:rPr>
        <w:t>就业岗位。</w:t>
      </w:r>
    </w:p>
    <w:p>
      <w:pPr>
        <w:spacing w:line="360" w:lineRule="auto"/>
        <w:ind w:firstLine="640" w:firstLineChars="200"/>
        <w:rPr>
          <w:rFonts w:ascii="Times New Roman" w:hAnsi="仿宋" w:eastAsia="仿宋" w:cs="Times New Roman"/>
          <w:color w:val="000000" w:themeColor="text1"/>
          <w:sz w:val="32"/>
          <w:szCs w:val="32"/>
        </w:rPr>
      </w:pPr>
      <w:r>
        <w:rPr>
          <w:rFonts w:ascii="Times New Roman" w:hAnsi="仿宋" w:eastAsia="仿宋" w:cs="Times New Roman"/>
          <w:color w:val="000000" w:themeColor="text1"/>
          <w:sz w:val="32"/>
          <w:szCs w:val="32"/>
        </w:rPr>
        <w:t>通过</w:t>
      </w:r>
      <w:r>
        <w:rPr>
          <w:rFonts w:hint="eastAsia" w:ascii="Times New Roman" w:hAnsi="仿宋" w:eastAsia="仿宋" w:cs="Times New Roman"/>
          <w:color w:val="000000" w:themeColor="text1"/>
          <w:sz w:val="32"/>
          <w:szCs w:val="32"/>
        </w:rPr>
        <w:t>引进先进企业</w:t>
      </w:r>
      <w:r>
        <w:rPr>
          <w:rFonts w:ascii="Times New Roman" w:hAnsi="仿宋" w:eastAsia="仿宋" w:cs="Times New Roman"/>
          <w:color w:val="000000" w:themeColor="text1"/>
          <w:sz w:val="32"/>
          <w:szCs w:val="32"/>
        </w:rPr>
        <w:t>的管理理念，提高劳动者素质，扩大</w:t>
      </w:r>
      <w:r>
        <w:rPr>
          <w:rFonts w:hint="eastAsia" w:ascii="Times New Roman" w:hAnsi="仿宋" w:eastAsia="仿宋" w:cs="Times New Roman"/>
          <w:color w:val="000000" w:themeColor="text1"/>
          <w:sz w:val="32"/>
          <w:szCs w:val="32"/>
        </w:rPr>
        <w:t>和</w:t>
      </w:r>
      <w:r>
        <w:rPr>
          <w:rFonts w:ascii="Times New Roman" w:hAnsi="仿宋" w:eastAsia="仿宋" w:cs="Times New Roman"/>
          <w:color w:val="000000" w:themeColor="text1"/>
          <w:sz w:val="32"/>
          <w:szCs w:val="32"/>
        </w:rPr>
        <w:t>完善工人、管理人员与企业家队伍，从而优化当地的产业结构</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就业</w:t>
      </w:r>
      <w:r>
        <w:rPr>
          <w:rFonts w:hint="eastAsia" w:ascii="Times New Roman" w:hAnsi="仿宋" w:eastAsia="仿宋" w:cs="Times New Roman"/>
          <w:color w:val="000000" w:themeColor="text1"/>
          <w:sz w:val="32"/>
          <w:szCs w:val="32"/>
        </w:rPr>
        <w:t>岗位</w:t>
      </w:r>
      <w:r>
        <w:rPr>
          <w:rFonts w:ascii="Times New Roman" w:hAnsi="仿宋" w:eastAsia="仿宋" w:cs="Times New Roman"/>
          <w:color w:val="000000" w:themeColor="text1"/>
          <w:sz w:val="32"/>
          <w:szCs w:val="32"/>
        </w:rPr>
        <w:t>的需求增加</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尤其对解决周边居民的就业具有现实意义。</w:t>
      </w:r>
    </w:p>
    <w:p>
      <w:pPr>
        <w:spacing w:line="360" w:lineRule="auto"/>
        <w:ind w:firstLine="640" w:firstLineChars="200"/>
        <w:rPr>
          <w:rFonts w:ascii="Times New Roman" w:hAnsi="仿宋" w:eastAsia="仿宋" w:cs="Times New Roman"/>
          <w:color w:val="000000" w:themeColor="text1"/>
          <w:sz w:val="32"/>
          <w:szCs w:val="32"/>
        </w:rPr>
      </w:pPr>
      <w:r>
        <w:rPr>
          <w:rFonts w:ascii="Times New Roman" w:hAnsi="仿宋" w:eastAsia="仿宋" w:cs="Times New Roman"/>
          <w:color w:val="000000" w:themeColor="text1"/>
          <w:sz w:val="32"/>
          <w:szCs w:val="32"/>
        </w:rPr>
        <w:t>3</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社会政治效应分析</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本项目</w:t>
      </w:r>
      <w:r>
        <w:rPr>
          <w:rFonts w:ascii="Times New Roman" w:hAnsi="仿宋" w:eastAsia="仿宋" w:cs="Times New Roman"/>
          <w:color w:val="000000" w:themeColor="text1"/>
          <w:sz w:val="32"/>
          <w:szCs w:val="32"/>
        </w:rPr>
        <w:t>的实施不仅能够带来相当的经济效益，而且能够为社会发展奠定良好基础</w:t>
      </w:r>
      <w:r>
        <w:rPr>
          <w:rFonts w:hint="eastAsia" w:ascii="Times New Roman" w:hAnsi="仿宋" w:eastAsia="仿宋" w:cs="Times New Roman"/>
          <w:color w:val="000000" w:themeColor="text1"/>
          <w:sz w:val="32"/>
          <w:szCs w:val="32"/>
        </w:rPr>
        <w:t>。首先，园区的发展，有利于发挥三明市的优势资源，促进三明革命老区的发展，缩小与沿海发达地区的差距，有利于人口、资源、环境的可持续发展。其次</w:t>
      </w:r>
      <w:r>
        <w:rPr>
          <w:rFonts w:ascii="Times New Roman" w:hAnsi="仿宋" w:eastAsia="仿宋" w:cs="Times New Roman"/>
          <w:color w:val="000000" w:themeColor="text1"/>
          <w:sz w:val="32"/>
          <w:szCs w:val="32"/>
        </w:rPr>
        <w:t>，在一定程度上解决了当地</w:t>
      </w:r>
      <w:r>
        <w:rPr>
          <w:rFonts w:hint="eastAsia" w:ascii="Times New Roman" w:hAnsi="仿宋" w:eastAsia="仿宋" w:cs="Times New Roman"/>
          <w:color w:val="000000" w:themeColor="text1"/>
          <w:sz w:val="32"/>
          <w:szCs w:val="32"/>
        </w:rPr>
        <w:t>闲置</w:t>
      </w:r>
      <w:r>
        <w:rPr>
          <w:rFonts w:ascii="Times New Roman" w:hAnsi="仿宋" w:eastAsia="仿宋" w:cs="Times New Roman"/>
          <w:color w:val="000000" w:themeColor="text1"/>
          <w:sz w:val="32"/>
          <w:szCs w:val="32"/>
        </w:rPr>
        <w:t>劳动力的就业问题，</w:t>
      </w:r>
      <w:r>
        <w:rPr>
          <w:rFonts w:hint="eastAsia" w:ascii="Times New Roman" w:hAnsi="仿宋" w:eastAsia="仿宋" w:cs="Times New Roman"/>
          <w:color w:val="000000" w:themeColor="text1"/>
          <w:sz w:val="32"/>
          <w:szCs w:val="32"/>
        </w:rPr>
        <w:t>提高了</w:t>
      </w:r>
      <w:r>
        <w:rPr>
          <w:rFonts w:ascii="Times New Roman" w:hAnsi="仿宋" w:eastAsia="仿宋" w:cs="Times New Roman"/>
          <w:color w:val="000000" w:themeColor="text1"/>
          <w:sz w:val="32"/>
          <w:szCs w:val="32"/>
        </w:rPr>
        <w:t>就业人员的</w:t>
      </w:r>
      <w:r>
        <w:rPr>
          <w:rFonts w:hint="eastAsia" w:ascii="Times New Roman" w:hAnsi="仿宋" w:eastAsia="仿宋" w:cs="Times New Roman"/>
          <w:color w:val="000000" w:themeColor="text1"/>
          <w:sz w:val="32"/>
          <w:szCs w:val="32"/>
        </w:rPr>
        <w:t>总体</w:t>
      </w:r>
      <w:r>
        <w:rPr>
          <w:rFonts w:ascii="Times New Roman" w:hAnsi="仿宋" w:eastAsia="仿宋" w:cs="Times New Roman"/>
          <w:color w:val="000000" w:themeColor="text1"/>
          <w:sz w:val="32"/>
          <w:szCs w:val="32"/>
        </w:rPr>
        <w:t>素质，有利于加强精神文明建设和社会的稳定。</w:t>
      </w:r>
      <w:r>
        <w:rPr>
          <w:rFonts w:hint="eastAsia" w:ascii="Times New Roman" w:hAnsi="仿宋" w:eastAsia="仿宋" w:cs="Times New Roman"/>
          <w:color w:val="000000" w:themeColor="text1"/>
          <w:sz w:val="32"/>
          <w:szCs w:val="32"/>
        </w:rPr>
        <w:t>另外</w:t>
      </w:r>
      <w:r>
        <w:rPr>
          <w:rFonts w:ascii="Times New Roman" w:hAnsi="仿宋" w:eastAsia="仿宋" w:cs="Times New Roman"/>
          <w:color w:val="000000" w:themeColor="text1"/>
          <w:sz w:val="32"/>
          <w:szCs w:val="32"/>
        </w:rPr>
        <w:t>，可以实现</w:t>
      </w:r>
      <w:r>
        <w:rPr>
          <w:rFonts w:hint="eastAsia" w:ascii="Times New Roman" w:hAnsi="仿宋" w:eastAsia="仿宋" w:cs="Times New Roman"/>
          <w:color w:val="000000" w:themeColor="text1"/>
          <w:sz w:val="32"/>
          <w:szCs w:val="32"/>
        </w:rPr>
        <w:t>三明市</w:t>
      </w:r>
      <w:r>
        <w:rPr>
          <w:rFonts w:ascii="Times New Roman" w:hAnsi="仿宋" w:eastAsia="仿宋" w:cs="Times New Roman"/>
          <w:color w:val="000000" w:themeColor="text1"/>
          <w:sz w:val="32"/>
          <w:szCs w:val="32"/>
        </w:rPr>
        <w:t>与生态沿海地区</w:t>
      </w:r>
      <w:r>
        <w:rPr>
          <w:rFonts w:hint="eastAsia" w:ascii="Times New Roman" w:hAnsi="仿宋" w:eastAsia="仿宋" w:cs="Times New Roman"/>
          <w:color w:val="000000" w:themeColor="text1"/>
          <w:sz w:val="32"/>
          <w:szCs w:val="32"/>
        </w:rPr>
        <w:t>及其他</w:t>
      </w:r>
      <w:r>
        <w:rPr>
          <w:rFonts w:ascii="Times New Roman" w:hAnsi="仿宋" w:eastAsia="仿宋" w:cs="Times New Roman"/>
          <w:color w:val="000000" w:themeColor="text1"/>
          <w:sz w:val="32"/>
          <w:szCs w:val="32"/>
        </w:rPr>
        <w:t>省市的有效互动，促进地区经济社会可持续发展。</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35" w:name="_Toc69542967"/>
      <w:bookmarkStart w:id="136" w:name="_Toc21542"/>
      <w:bookmarkStart w:id="137" w:name="_Toc69511880"/>
      <w:bookmarkStart w:id="138" w:name="_Toc69511845"/>
      <w:r>
        <w:rPr>
          <w:rFonts w:hint="eastAsia" w:ascii="Times New Roman" w:hAnsi="Arial" w:eastAsia="黑体" w:cs="Times New Roman"/>
          <w:b w:val="0"/>
          <w:color w:val="000000" w:themeColor="text1"/>
          <w:kern w:val="2"/>
          <w:sz w:val="32"/>
          <w:szCs w:val="32"/>
        </w:rPr>
        <w:t>（四）生态效益</w:t>
      </w:r>
      <w:bookmarkEnd w:id="135"/>
      <w:bookmarkEnd w:id="136"/>
      <w:bookmarkEnd w:id="137"/>
      <w:bookmarkEnd w:id="138"/>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方案用地多为工矿用地，实施后园区水资源需求量在区域的水资源占比不大；规划的实施对新占地范围及周边生态环境造成一定消极影响；规划实行集中供气，淘汰燃煤锅炉，鼓励燃煤炉窑煤改气、电，清洁能源的普及从源头控制污染物产生量，对改善环境质量、提高资源利用率、减少温室气体排放起到积极作用，将对环境产生的消极作用降到最低。</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工业园区规划实施后，工业区产业引进将逐步规范化，从源头控制污染严重的企业进驻，优化产业结构；同时要求入园企业具有较高的清洁生产水平，促进工业区发展循环经济；调整土地利用空间布局，合理安排不同类型企业在区内的集聚区域，最大限度地减少对区内及周边敏感目标、环境的影响；完善环保基础设施，实施严格的环境管理制度，区内工业和生活污染物有序排放；在创造更高的经济价值的同时，有利于区域经济与环境的协调可持续发展。</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项目范围内，绿地与开敞空间用地</w:t>
      </w:r>
      <w:bookmarkStart w:id="139" w:name="_Hlk66459831"/>
      <w:r>
        <w:rPr>
          <w:rFonts w:hint="eastAsia" w:ascii="Times New Roman" w:hAnsi="仿宋" w:eastAsia="仿宋" w:cs="Times New Roman"/>
          <w:color w:val="000000" w:themeColor="text1"/>
          <w:sz w:val="32"/>
          <w:szCs w:val="32"/>
        </w:rPr>
        <w:t>面积</w:t>
      </w:r>
      <w:r>
        <w:rPr>
          <w:rFonts w:ascii="Times New Roman" w:hAnsi="仿宋" w:eastAsia="仿宋" w:cs="Times New Roman"/>
          <w:color w:val="000000" w:themeColor="text1"/>
          <w:sz w:val="32"/>
          <w:szCs w:val="32"/>
        </w:rPr>
        <w:t>17.7503</w:t>
      </w:r>
      <w:r>
        <w:rPr>
          <w:rFonts w:hint="eastAsia" w:ascii="Times New Roman" w:hAnsi="仿宋" w:eastAsia="仿宋" w:cs="Times New Roman"/>
          <w:color w:val="000000" w:themeColor="text1"/>
          <w:sz w:val="32"/>
          <w:szCs w:val="32"/>
        </w:rPr>
        <w:t>公顷，占城镇建设用地比例达</w:t>
      </w:r>
      <w:r>
        <w:rPr>
          <w:rFonts w:ascii="Times New Roman" w:hAnsi="仿宋" w:eastAsia="仿宋" w:cs="Times New Roman"/>
          <w:color w:val="000000" w:themeColor="text1"/>
          <w:sz w:val="32"/>
          <w:szCs w:val="32"/>
        </w:rPr>
        <w:t>25.50%</w:t>
      </w:r>
      <w:r>
        <w:rPr>
          <w:rFonts w:hint="eastAsia" w:ascii="Times New Roman" w:hAnsi="仿宋" w:eastAsia="仿宋" w:cs="Times New Roman"/>
          <w:color w:val="000000" w:themeColor="text1"/>
          <w:sz w:val="32"/>
          <w:szCs w:val="32"/>
        </w:rPr>
        <w:t>，全部为防护绿地，</w:t>
      </w:r>
      <w:r>
        <w:rPr>
          <w:rFonts w:ascii="Times New Roman" w:hAnsi="仿宋" w:eastAsia="仿宋" w:cs="Times New Roman"/>
          <w:color w:val="000000" w:themeColor="text1"/>
          <w:sz w:val="32"/>
          <w:szCs w:val="32"/>
        </w:rPr>
        <w:t>防护绿地能减少灰尘、噪声污染，从而保护城市环境</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另</w:t>
      </w:r>
      <w:r>
        <w:rPr>
          <w:rFonts w:hint="eastAsia" w:ascii="Times New Roman" w:hAnsi="仿宋" w:eastAsia="仿宋" w:cs="Times New Roman"/>
          <w:color w:val="000000" w:themeColor="text1"/>
          <w:sz w:val="32"/>
          <w:szCs w:val="32"/>
        </w:rPr>
        <w:t>成片</w:t>
      </w:r>
      <w:r>
        <w:rPr>
          <w:rFonts w:ascii="Times New Roman" w:hAnsi="仿宋" w:eastAsia="仿宋" w:cs="Times New Roman"/>
          <w:color w:val="000000" w:themeColor="text1"/>
          <w:sz w:val="32"/>
          <w:szCs w:val="32"/>
        </w:rPr>
        <w:t>开发区域多在高山丘陵地段，</w:t>
      </w:r>
      <w:r>
        <w:rPr>
          <w:rFonts w:hint="eastAsia" w:ascii="Times New Roman" w:hAnsi="仿宋" w:eastAsia="仿宋" w:cs="Times New Roman"/>
          <w:color w:val="000000" w:themeColor="text1"/>
          <w:sz w:val="32"/>
          <w:szCs w:val="32"/>
        </w:rPr>
        <w:t>采用多</w:t>
      </w:r>
      <w:r>
        <w:rPr>
          <w:rFonts w:ascii="Times New Roman" w:hAnsi="仿宋" w:eastAsia="仿宋" w:cs="Times New Roman"/>
          <w:color w:val="000000" w:themeColor="text1"/>
          <w:sz w:val="32"/>
          <w:szCs w:val="32"/>
        </w:rPr>
        <w:t>台地的开发模式，需要一定的</w:t>
      </w:r>
      <w:r>
        <w:rPr>
          <w:rFonts w:hint="eastAsia" w:ascii="Times New Roman" w:hAnsi="仿宋" w:eastAsia="仿宋" w:cs="Times New Roman"/>
          <w:color w:val="000000" w:themeColor="text1"/>
          <w:sz w:val="32"/>
          <w:szCs w:val="32"/>
        </w:rPr>
        <w:t>挡墙</w:t>
      </w:r>
      <w:r>
        <w:rPr>
          <w:rFonts w:ascii="Times New Roman" w:hAnsi="仿宋" w:eastAsia="仿宋" w:cs="Times New Roman"/>
          <w:color w:val="000000" w:themeColor="text1"/>
          <w:sz w:val="32"/>
          <w:szCs w:val="32"/>
        </w:rPr>
        <w:t>护坡保证产业场地的开发需要。对经济开发区串成一个</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生产、生活、生态</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三生融合的整体具有促进作用，彰显了项目区的生态服务功能。</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产业</w:t>
      </w:r>
      <w:r>
        <w:rPr>
          <w:rFonts w:ascii="Times New Roman" w:hAnsi="仿宋" w:eastAsia="仿宋" w:cs="Times New Roman"/>
          <w:color w:val="000000" w:themeColor="text1"/>
          <w:sz w:val="32"/>
          <w:szCs w:val="32"/>
        </w:rPr>
        <w:t>的集聚发展，</w:t>
      </w:r>
      <w:r>
        <w:rPr>
          <w:rFonts w:hint="eastAsia" w:ascii="Times New Roman" w:hAnsi="仿宋" w:eastAsia="仿宋" w:cs="Times New Roman"/>
          <w:color w:val="000000" w:themeColor="text1"/>
          <w:sz w:val="32"/>
          <w:szCs w:val="32"/>
        </w:rPr>
        <w:t>有利用</w:t>
      </w:r>
      <w:r>
        <w:rPr>
          <w:rFonts w:ascii="Times New Roman" w:hAnsi="仿宋" w:eastAsia="仿宋" w:cs="Times New Roman"/>
          <w:color w:val="000000" w:themeColor="text1"/>
          <w:sz w:val="32"/>
          <w:szCs w:val="32"/>
        </w:rPr>
        <w:t>公共资源</w:t>
      </w:r>
      <w:r>
        <w:rPr>
          <w:rFonts w:hint="eastAsia" w:ascii="Times New Roman" w:hAnsi="仿宋" w:eastAsia="仿宋" w:cs="Times New Roman"/>
          <w:color w:val="000000" w:themeColor="text1"/>
          <w:sz w:val="32"/>
          <w:szCs w:val="32"/>
        </w:rPr>
        <w:t>、</w:t>
      </w:r>
      <w:r>
        <w:rPr>
          <w:rFonts w:ascii="Times New Roman" w:hAnsi="仿宋" w:eastAsia="仿宋" w:cs="Times New Roman"/>
          <w:color w:val="000000" w:themeColor="text1"/>
          <w:sz w:val="32"/>
          <w:szCs w:val="32"/>
        </w:rPr>
        <w:t>公用设施的节约</w:t>
      </w:r>
      <w:r>
        <w:rPr>
          <w:rFonts w:hint="eastAsia" w:ascii="Times New Roman" w:hAnsi="仿宋" w:eastAsia="仿宋" w:cs="Times New Roman"/>
          <w:color w:val="000000" w:themeColor="text1"/>
          <w:sz w:val="32"/>
          <w:szCs w:val="32"/>
        </w:rPr>
        <w:t>集约</w:t>
      </w:r>
      <w:r>
        <w:rPr>
          <w:rFonts w:ascii="Times New Roman" w:hAnsi="仿宋" w:eastAsia="仿宋" w:cs="Times New Roman"/>
          <w:color w:val="000000" w:themeColor="text1"/>
          <w:sz w:val="32"/>
          <w:szCs w:val="32"/>
        </w:rPr>
        <w:t>使用，进而达到减少污染、降低能耗的目的，同时，产业的相对集中，有利于</w:t>
      </w:r>
      <w:r>
        <w:rPr>
          <w:rFonts w:hint="eastAsia" w:ascii="Times New Roman" w:hAnsi="仿宋" w:eastAsia="仿宋" w:cs="Times New Roman"/>
          <w:color w:val="000000" w:themeColor="text1"/>
          <w:sz w:val="32"/>
          <w:szCs w:val="32"/>
        </w:rPr>
        <w:t>“三废”的</w:t>
      </w:r>
      <w:r>
        <w:rPr>
          <w:rFonts w:ascii="Times New Roman" w:hAnsi="仿宋" w:eastAsia="仿宋" w:cs="Times New Roman"/>
          <w:color w:val="000000" w:themeColor="text1"/>
          <w:sz w:val="32"/>
          <w:szCs w:val="32"/>
        </w:rPr>
        <w:t>集中收集、转运、处理，</w:t>
      </w:r>
      <w:r>
        <w:rPr>
          <w:rFonts w:hint="eastAsia" w:ascii="Times New Roman" w:hAnsi="仿宋" w:eastAsia="仿宋" w:cs="Times New Roman"/>
          <w:color w:val="000000" w:themeColor="text1"/>
          <w:sz w:val="32"/>
          <w:szCs w:val="32"/>
        </w:rPr>
        <w:t>降低对</w:t>
      </w:r>
      <w:r>
        <w:rPr>
          <w:rFonts w:ascii="Times New Roman" w:hAnsi="仿宋" w:eastAsia="仿宋" w:cs="Times New Roman"/>
          <w:color w:val="000000" w:themeColor="text1"/>
          <w:sz w:val="32"/>
          <w:szCs w:val="32"/>
        </w:rPr>
        <w:t>环境的污染。</w:t>
      </w:r>
    </w:p>
    <w:p>
      <w:pPr>
        <w:spacing w:line="360" w:lineRule="auto"/>
        <w:ind w:firstLine="640" w:firstLineChars="200"/>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本方案</w:t>
      </w:r>
      <w:r>
        <w:rPr>
          <w:rFonts w:ascii="Times New Roman" w:hAnsi="仿宋" w:eastAsia="仿宋" w:cs="Times New Roman"/>
          <w:color w:val="000000" w:themeColor="text1"/>
          <w:sz w:val="32"/>
          <w:szCs w:val="32"/>
        </w:rPr>
        <w:t>所在区域与南侧居住片区</w:t>
      </w:r>
      <w:r>
        <w:rPr>
          <w:rFonts w:hint="eastAsia" w:ascii="Times New Roman" w:hAnsi="仿宋" w:eastAsia="仿宋" w:cs="Times New Roman"/>
          <w:color w:val="000000" w:themeColor="text1"/>
          <w:sz w:val="32"/>
          <w:szCs w:val="32"/>
        </w:rPr>
        <w:t>间</w:t>
      </w:r>
      <w:r>
        <w:rPr>
          <w:rFonts w:ascii="Times New Roman" w:hAnsi="仿宋" w:eastAsia="仿宋" w:cs="Times New Roman"/>
          <w:color w:val="000000" w:themeColor="text1"/>
          <w:sz w:val="32"/>
          <w:szCs w:val="32"/>
        </w:rPr>
        <w:t>因山体及防护绿地的</w:t>
      </w:r>
      <w:r>
        <w:rPr>
          <w:rFonts w:hint="eastAsia" w:ascii="Times New Roman" w:hAnsi="仿宋" w:eastAsia="仿宋" w:cs="Times New Roman"/>
          <w:color w:val="000000" w:themeColor="text1"/>
          <w:sz w:val="32"/>
          <w:szCs w:val="32"/>
        </w:rPr>
        <w:t>阻隔</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能</w:t>
      </w:r>
      <w:r>
        <w:rPr>
          <w:rFonts w:ascii="Times New Roman" w:hAnsi="仿宋" w:eastAsia="仿宋" w:cs="Times New Roman"/>
          <w:color w:val="000000" w:themeColor="text1"/>
          <w:sz w:val="32"/>
          <w:szCs w:val="32"/>
        </w:rPr>
        <w:t>减少产业区</w:t>
      </w:r>
      <w:r>
        <w:rPr>
          <w:rFonts w:hint="eastAsia" w:ascii="Times New Roman" w:hAnsi="仿宋" w:eastAsia="仿宋" w:cs="Times New Roman"/>
          <w:color w:val="000000" w:themeColor="text1"/>
          <w:sz w:val="32"/>
          <w:szCs w:val="32"/>
        </w:rPr>
        <w:t>生产</w:t>
      </w:r>
      <w:r>
        <w:rPr>
          <w:rFonts w:ascii="Times New Roman" w:hAnsi="仿宋" w:eastAsia="仿宋" w:cs="Times New Roman"/>
          <w:color w:val="000000" w:themeColor="text1"/>
          <w:sz w:val="32"/>
          <w:szCs w:val="32"/>
        </w:rPr>
        <w:t>加工过程中产生的噪音、粉尘等</w:t>
      </w:r>
      <w:r>
        <w:rPr>
          <w:rFonts w:hint="eastAsia" w:ascii="Times New Roman" w:hAnsi="仿宋" w:eastAsia="仿宋" w:cs="Times New Roman"/>
          <w:color w:val="000000" w:themeColor="text1"/>
          <w:sz w:val="32"/>
          <w:szCs w:val="32"/>
        </w:rPr>
        <w:t>的</w:t>
      </w:r>
      <w:r>
        <w:rPr>
          <w:rFonts w:ascii="Times New Roman" w:hAnsi="仿宋" w:eastAsia="仿宋" w:cs="Times New Roman"/>
          <w:color w:val="000000" w:themeColor="text1"/>
          <w:sz w:val="32"/>
          <w:szCs w:val="32"/>
        </w:rPr>
        <w:t>污染。</w:t>
      </w:r>
    </w:p>
    <w:bookmarkEnd w:id="122"/>
    <w:bookmarkEnd w:id="139"/>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140" w:name="_Toc69542968"/>
      <w:bookmarkStart w:id="141" w:name="_Toc69511846"/>
      <w:bookmarkStart w:id="142" w:name="_Toc1262"/>
      <w:bookmarkStart w:id="143" w:name="_Toc69511881"/>
      <w:bookmarkStart w:id="144" w:name="_Toc61179757"/>
      <w:bookmarkStart w:id="145" w:name="_Toc61613928"/>
      <w:r>
        <w:rPr>
          <w:rFonts w:hint="eastAsia" w:ascii="Times New Roman" w:hAnsi="黑体" w:eastAsia="黑体" w:cs="Times New Roman"/>
          <w:b w:val="0"/>
          <w:color w:val="000000" w:themeColor="text1"/>
          <w:sz w:val="32"/>
          <w:szCs w:val="32"/>
        </w:rPr>
        <w:t>九、征求意见情况</w:t>
      </w:r>
      <w:bookmarkEnd w:id="140"/>
      <w:bookmarkEnd w:id="141"/>
      <w:bookmarkEnd w:id="142"/>
      <w:bookmarkEnd w:id="143"/>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46" w:name="_Toc65338319"/>
      <w:bookmarkStart w:id="147" w:name="_Toc69511847"/>
      <w:bookmarkStart w:id="148" w:name="_Toc69511882"/>
      <w:bookmarkStart w:id="149" w:name="_Toc69542969"/>
      <w:bookmarkStart w:id="150" w:name="_Toc27057"/>
      <w:bookmarkStart w:id="151" w:name="_Toc61179750"/>
      <w:r>
        <w:rPr>
          <w:rFonts w:hint="eastAsia" w:ascii="Times New Roman" w:hAnsi="Arial" w:eastAsia="黑体" w:cs="Times New Roman"/>
          <w:b w:val="0"/>
          <w:color w:val="000000" w:themeColor="text1"/>
          <w:kern w:val="2"/>
          <w:sz w:val="32"/>
          <w:szCs w:val="32"/>
        </w:rPr>
        <w:t>（一）听取人大代表、政协委员、社会公众和有关专家学者意见</w:t>
      </w:r>
      <w:bookmarkEnd w:id="146"/>
      <w:bookmarkEnd w:id="147"/>
      <w:bookmarkEnd w:id="148"/>
      <w:bookmarkEnd w:id="149"/>
      <w:bookmarkEnd w:id="150"/>
    </w:p>
    <w:p>
      <w:pPr>
        <w:spacing w:line="360" w:lineRule="auto"/>
        <w:ind w:firstLine="640" w:firstLineChars="200"/>
        <w:rPr>
          <w:rFonts w:ascii="Times New Roman" w:hAnsi="仿宋" w:eastAsia="仿宋" w:cs="Times New Roman"/>
          <w:color w:val="000000" w:themeColor="text1"/>
          <w:sz w:val="32"/>
          <w:szCs w:val="32"/>
        </w:rPr>
      </w:pPr>
      <w:r>
        <w:rPr>
          <w:rFonts w:ascii="Times New Roman" w:hAnsi="仿宋" w:eastAsia="仿宋" w:cs="Times New Roman"/>
          <w:color w:val="000000" w:themeColor="text1"/>
          <w:sz w:val="32"/>
          <w:szCs w:val="32"/>
        </w:rPr>
        <w:t>2021</w:t>
      </w:r>
      <w:r>
        <w:rPr>
          <w:rFonts w:hint="eastAsia" w:ascii="Times New Roman" w:hAnsi="仿宋" w:eastAsia="仿宋" w:cs="Times New Roman"/>
          <w:color w:val="000000" w:themeColor="text1"/>
          <w:sz w:val="32"/>
          <w:szCs w:val="32"/>
        </w:rPr>
        <w:t>年</w:t>
      </w:r>
      <w:r>
        <w:rPr>
          <w:rFonts w:ascii="Times New Roman" w:hAnsi="仿宋" w:eastAsia="仿宋" w:cs="Times New Roman"/>
          <w:color w:val="000000" w:themeColor="text1"/>
          <w:sz w:val="32"/>
          <w:szCs w:val="32"/>
        </w:rPr>
        <w:t>3</w:t>
      </w:r>
      <w:r>
        <w:rPr>
          <w:rFonts w:hint="eastAsia" w:ascii="Times New Roman" w:hAnsi="仿宋" w:eastAsia="仿宋" w:cs="Times New Roman"/>
          <w:color w:val="000000" w:themeColor="text1"/>
          <w:sz w:val="32"/>
          <w:szCs w:val="32"/>
        </w:rPr>
        <w:t>月5日，三明市自然资源局组织召开了福建梅列经济开发区</w:t>
      </w:r>
      <w:r>
        <w:rPr>
          <w:rFonts w:ascii="Times New Roman" w:hAnsi="仿宋" w:eastAsia="仿宋" w:cs="Times New Roman"/>
          <w:color w:val="000000" w:themeColor="text1"/>
          <w:sz w:val="32"/>
          <w:szCs w:val="32"/>
        </w:rPr>
        <w:t>泉三高端装备产业园土地征收成片开发方案征求意见会，</w:t>
      </w:r>
      <w:r>
        <w:rPr>
          <w:rFonts w:hint="eastAsia" w:ascii="Times New Roman" w:hAnsi="仿宋" w:eastAsia="仿宋" w:cs="Times New Roman"/>
          <w:color w:val="000000" w:themeColor="text1"/>
          <w:sz w:val="32"/>
          <w:szCs w:val="32"/>
        </w:rPr>
        <w:t>听取了人大代表、政协委员、社会公众、专家学者和市级相关部门的意见，经充分讨论，同意本方案。为</w:t>
      </w:r>
      <w:r>
        <w:rPr>
          <w:rFonts w:ascii="Times New Roman" w:hAnsi="仿宋" w:eastAsia="仿宋" w:cs="Times New Roman"/>
          <w:color w:val="000000" w:themeColor="text1"/>
          <w:sz w:val="32"/>
          <w:szCs w:val="32"/>
        </w:rPr>
        <w:t>进一步完善本方案，针对专家提出的</w:t>
      </w:r>
      <w:r>
        <w:rPr>
          <w:rFonts w:hint="eastAsia" w:ascii="Times New Roman" w:hAnsi="仿宋" w:eastAsia="仿宋" w:cs="Times New Roman"/>
          <w:color w:val="000000" w:themeColor="text1"/>
          <w:sz w:val="32"/>
          <w:szCs w:val="32"/>
        </w:rPr>
        <w:t>对接</w:t>
      </w:r>
      <w:r>
        <w:rPr>
          <w:rFonts w:ascii="Times New Roman" w:hAnsi="仿宋" w:eastAsia="仿宋" w:cs="Times New Roman"/>
          <w:color w:val="000000" w:themeColor="text1"/>
          <w:sz w:val="32"/>
          <w:szCs w:val="32"/>
        </w:rPr>
        <w:t>规划、</w:t>
      </w:r>
      <w:r>
        <w:rPr>
          <w:rFonts w:hint="eastAsia" w:ascii="Times New Roman" w:hAnsi="仿宋" w:eastAsia="仿宋" w:cs="Times New Roman"/>
          <w:color w:val="000000" w:themeColor="text1"/>
          <w:sz w:val="32"/>
          <w:szCs w:val="32"/>
        </w:rPr>
        <w:t>时事背景</w:t>
      </w:r>
      <w:r>
        <w:rPr>
          <w:rFonts w:ascii="Times New Roman" w:hAnsi="仿宋" w:eastAsia="仿宋" w:cs="Times New Roman"/>
          <w:color w:val="000000" w:themeColor="text1"/>
          <w:sz w:val="32"/>
          <w:szCs w:val="32"/>
        </w:rPr>
        <w:t>、效益评估量化等</w:t>
      </w:r>
      <w:r>
        <w:rPr>
          <w:rFonts w:hint="eastAsia" w:ascii="Times New Roman" w:hAnsi="仿宋" w:eastAsia="仿宋" w:cs="Times New Roman"/>
          <w:color w:val="000000" w:themeColor="text1"/>
          <w:sz w:val="32"/>
          <w:szCs w:val="32"/>
        </w:rPr>
        <w:t>相关</w:t>
      </w:r>
      <w:r>
        <w:rPr>
          <w:rFonts w:ascii="Times New Roman" w:hAnsi="仿宋" w:eastAsia="仿宋" w:cs="Times New Roman"/>
          <w:color w:val="000000" w:themeColor="text1"/>
          <w:sz w:val="32"/>
          <w:szCs w:val="32"/>
        </w:rPr>
        <w:t>问题</w:t>
      </w:r>
      <w:r>
        <w:rPr>
          <w:rFonts w:hint="eastAsia" w:ascii="Times New Roman" w:hAnsi="仿宋" w:eastAsia="仿宋" w:cs="Times New Roman"/>
          <w:color w:val="000000" w:themeColor="text1"/>
          <w:sz w:val="32"/>
          <w:szCs w:val="32"/>
        </w:rPr>
        <w:t>做了</w:t>
      </w:r>
      <w:r>
        <w:rPr>
          <w:rFonts w:ascii="Times New Roman" w:hAnsi="仿宋" w:eastAsia="仿宋" w:cs="Times New Roman"/>
          <w:color w:val="000000" w:themeColor="text1"/>
          <w:sz w:val="32"/>
          <w:szCs w:val="32"/>
        </w:rPr>
        <w:t>修改完善</w:t>
      </w:r>
      <w:r>
        <w:rPr>
          <w:rFonts w:hint="eastAsia" w:ascii="Times New Roman" w:hAnsi="仿宋" w:eastAsia="仿宋" w:cs="Times New Roman"/>
          <w:color w:val="000000" w:themeColor="text1"/>
          <w:sz w:val="32"/>
          <w:szCs w:val="32"/>
        </w:rPr>
        <w:t>。</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rPr>
      </w:pPr>
      <w:bookmarkStart w:id="152" w:name="_Toc69511883"/>
      <w:bookmarkStart w:id="153" w:name="_Toc69542970"/>
      <w:bookmarkStart w:id="154" w:name="_Toc65338320"/>
      <w:bookmarkStart w:id="155" w:name="_Toc69511848"/>
      <w:bookmarkStart w:id="156" w:name="_Toc2562"/>
      <w:r>
        <w:rPr>
          <w:rFonts w:hint="eastAsia" w:ascii="Times New Roman" w:hAnsi="Arial" w:eastAsia="黑体" w:cs="Times New Roman"/>
          <w:b w:val="0"/>
          <w:color w:val="000000" w:themeColor="text1"/>
          <w:kern w:val="2"/>
          <w:sz w:val="32"/>
          <w:szCs w:val="32"/>
        </w:rPr>
        <w:t>（二）征求集体经济组织和农民意见</w:t>
      </w:r>
      <w:bookmarkEnd w:id="151"/>
      <w:bookmarkEnd w:id="152"/>
      <w:bookmarkEnd w:id="153"/>
      <w:bookmarkEnd w:id="154"/>
      <w:bookmarkEnd w:id="155"/>
      <w:bookmarkEnd w:id="156"/>
    </w:p>
    <w:p>
      <w:pPr>
        <w:spacing w:line="360" w:lineRule="auto"/>
        <w:ind w:firstLine="640" w:firstLineChars="200"/>
        <w:rPr>
          <w:color w:val="000000" w:themeColor="text1"/>
        </w:rPr>
      </w:pPr>
      <w:r>
        <w:rPr>
          <w:rFonts w:hint="eastAsia" w:ascii="Times New Roman" w:hAnsi="仿宋" w:eastAsia="仿宋" w:cs="Times New Roman"/>
          <w:color w:val="000000" w:themeColor="text1"/>
          <w:sz w:val="32"/>
          <w:szCs w:val="32"/>
        </w:rPr>
        <w:t>成片开发范围涉及三明市</w:t>
      </w:r>
      <w:r>
        <w:rPr>
          <w:rFonts w:ascii="Times New Roman" w:hAnsi="仿宋" w:eastAsia="仿宋" w:cs="Times New Roman"/>
          <w:color w:val="000000" w:themeColor="text1"/>
          <w:sz w:val="32"/>
          <w:szCs w:val="32"/>
        </w:rPr>
        <w:t>梅列区</w:t>
      </w:r>
      <w:r>
        <w:rPr>
          <w:rFonts w:hint="eastAsia" w:ascii="Times New Roman" w:hAnsi="仿宋" w:eastAsia="仿宋" w:cs="Times New Roman"/>
          <w:color w:val="000000" w:themeColor="text1"/>
          <w:sz w:val="32"/>
          <w:szCs w:val="32"/>
        </w:rPr>
        <w:t>的1个街道1个</w:t>
      </w:r>
      <w:r>
        <w:rPr>
          <w:rFonts w:ascii="Times New Roman" w:hAnsi="仿宋" w:eastAsia="仿宋" w:cs="Times New Roman"/>
          <w:color w:val="000000" w:themeColor="text1"/>
          <w:sz w:val="32"/>
          <w:szCs w:val="32"/>
        </w:rPr>
        <w:t>镇</w:t>
      </w:r>
      <w:r>
        <w:rPr>
          <w:rFonts w:hint="eastAsia" w:ascii="Times New Roman" w:hAnsi="仿宋" w:eastAsia="仿宋" w:cs="Times New Roman"/>
          <w:color w:val="000000" w:themeColor="text1"/>
          <w:sz w:val="32"/>
          <w:szCs w:val="32"/>
        </w:rPr>
        <w:t>2个村集体经济组织，小蕉村、台溪村分别召开了村民代表会议，同意本方案的到会村民代表人数，分别达到村民代表总数的82.6%、85.2%，均达到三分之二以上，符合有关规定。</w:t>
      </w:r>
    </w:p>
    <w:p>
      <w:pPr>
        <w:pStyle w:val="4"/>
        <w:spacing w:before="120" w:after="120" w:line="360" w:lineRule="auto"/>
        <w:ind w:firstLine="640" w:firstLineChars="200"/>
        <w:rPr>
          <w:rFonts w:ascii="Times New Roman" w:hAnsi="黑体" w:eastAsia="黑体" w:cs="Times New Roman"/>
          <w:b w:val="0"/>
          <w:color w:val="000000" w:themeColor="text1"/>
          <w:sz w:val="32"/>
          <w:szCs w:val="32"/>
        </w:rPr>
      </w:pPr>
      <w:bookmarkStart w:id="157" w:name="_Toc69511884"/>
      <w:bookmarkStart w:id="158" w:name="_Toc69542971"/>
      <w:bookmarkStart w:id="159" w:name="_Toc69511849"/>
      <w:bookmarkStart w:id="160" w:name="_Toc24942"/>
      <w:r>
        <w:rPr>
          <w:rFonts w:hint="eastAsia" w:ascii="Times New Roman" w:hAnsi="黑体" w:eastAsia="黑体" w:cs="Times New Roman"/>
          <w:b w:val="0"/>
          <w:color w:val="000000" w:themeColor="text1"/>
          <w:sz w:val="32"/>
          <w:szCs w:val="32"/>
        </w:rPr>
        <w:t>十、结论</w:t>
      </w:r>
      <w:bookmarkEnd w:id="144"/>
      <w:bookmarkEnd w:id="145"/>
      <w:bookmarkEnd w:id="157"/>
      <w:bookmarkEnd w:id="158"/>
      <w:bookmarkEnd w:id="159"/>
      <w:bookmarkEnd w:id="160"/>
    </w:p>
    <w:p>
      <w:pPr>
        <w:spacing w:line="360" w:lineRule="auto"/>
        <w:ind w:firstLine="640" w:firstLineChars="200"/>
        <w:rPr>
          <w:rFonts w:ascii="微软雅黑" w:hAnsi="微软雅黑" w:eastAsia="微软雅黑"/>
          <w:b/>
          <w:color w:val="000000" w:themeColor="text1"/>
          <w:sz w:val="32"/>
          <w:szCs w:val="32"/>
        </w:rPr>
      </w:pPr>
      <w:r>
        <w:rPr>
          <w:rFonts w:hint="eastAsia" w:ascii="Times New Roman" w:hAnsi="仿宋" w:eastAsia="仿宋" w:cs="Times New Roman"/>
          <w:color w:val="000000" w:themeColor="text1"/>
          <w:sz w:val="32"/>
          <w:szCs w:val="32"/>
        </w:rPr>
        <w:t>本土地征收成片开发方案符合国民经济和社会发展规划、土地利用总体规划、城乡规划和专项规划，已纳入国民经济和社会发展年度计划，符合部省规定的标准，做到了保护耕地、维护农民合法权益、节约集约用地、保护生态环境，能够促进经济社会可持续发展。</w:t>
      </w:r>
      <w:bookmarkStart w:id="161" w:name="_Toc61613929"/>
      <w:bookmarkStart w:id="162" w:name="_Toc61179758"/>
      <w:r>
        <w:rPr>
          <w:rFonts w:ascii="微软雅黑" w:hAnsi="微软雅黑" w:eastAsia="微软雅黑"/>
          <w:b/>
          <w:color w:val="000000" w:themeColor="text1"/>
          <w:sz w:val="32"/>
          <w:szCs w:val="32"/>
        </w:rPr>
        <w:br w:type="page"/>
      </w:r>
    </w:p>
    <w:bookmarkEnd w:id="161"/>
    <w:bookmarkEnd w:id="162"/>
    <w:p>
      <w:pPr>
        <w:spacing w:line="360" w:lineRule="auto"/>
        <w:ind w:firstLine="843" w:firstLineChars="300"/>
        <w:jc w:val="left"/>
        <w:rPr>
          <w:rFonts w:ascii="仿宋" w:hAnsi="仿宋" w:eastAsia="仿宋" w:cs="宋体"/>
          <w:b/>
          <w:bCs/>
          <w:color w:val="000000" w:themeColor="text1"/>
          <w:kern w:val="0"/>
          <w:sz w:val="28"/>
          <w:szCs w:val="28"/>
        </w:rPr>
      </w:pPr>
      <w:bookmarkStart w:id="163" w:name="_Toc62929124"/>
      <w:bookmarkStart w:id="164" w:name="_Toc69511886"/>
      <w:bookmarkStart w:id="165" w:name="_Toc69511851"/>
      <w:r>
        <w:rPr>
          <w:rFonts w:hint="eastAsia" w:ascii="仿宋" w:hAnsi="仿宋" w:eastAsia="仿宋" w:cs="宋体"/>
          <w:b/>
          <w:bCs/>
          <w:color w:val="000000" w:themeColor="text1"/>
          <w:kern w:val="0"/>
          <w:sz w:val="28"/>
          <w:szCs w:val="28"/>
        </w:rPr>
        <w:t>附图1</w:t>
      </w:r>
      <w:bookmarkEnd w:id="163"/>
      <w:bookmarkEnd w:id="164"/>
      <w:bookmarkEnd w:id="165"/>
      <w:r>
        <w:rPr>
          <w:rFonts w:hint="eastAsia" w:ascii="仿宋" w:hAnsi="仿宋" w:eastAsia="仿宋" w:cs="宋体"/>
          <w:b/>
          <w:bCs/>
          <w:color w:val="000000" w:themeColor="text1"/>
          <w:kern w:val="0"/>
          <w:sz w:val="28"/>
          <w:szCs w:val="28"/>
        </w:rPr>
        <w:t xml:space="preserve"> 成片开发位置示意图</w:t>
      </w:r>
    </w:p>
    <w:p>
      <w:pPr>
        <w:widowControl/>
        <w:jc w:val="left"/>
        <w:rPr>
          <w:rFonts w:ascii="微软雅黑" w:hAnsi="微软雅黑" w:eastAsia="微软雅黑"/>
          <w:b/>
          <w:color w:val="000000" w:themeColor="text1"/>
          <w:sz w:val="28"/>
          <w:szCs w:val="28"/>
        </w:rPr>
      </w:pPr>
      <w:bookmarkStart w:id="166" w:name="_Toc62929125"/>
      <w:r>
        <w:rPr>
          <w:rFonts w:ascii="微软雅黑" w:hAnsi="微软雅黑" w:eastAsia="微软雅黑"/>
          <w:b/>
          <w:color w:val="000000" w:themeColor="text1"/>
          <w:sz w:val="28"/>
          <w:szCs w:val="28"/>
        </w:rPr>
        <w:drawing>
          <wp:inline distT="0" distB="0" distL="0" distR="0">
            <wp:extent cx="5579745" cy="6108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9745" cy="6108065"/>
                    </a:xfrm>
                    <a:prstGeom prst="rect">
                      <a:avLst/>
                    </a:prstGeom>
                  </pic:spPr>
                </pic:pic>
              </a:graphicData>
            </a:graphic>
          </wp:inline>
        </w:drawing>
      </w:r>
      <w:bookmarkEnd w:id="166"/>
    </w:p>
    <w:sectPr>
      <w:pgSz w:w="11906" w:h="16838"/>
      <w:pgMar w:top="1440" w:right="1418" w:bottom="1440"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0645502"/>
      <w:docPartObj>
        <w:docPartGallery w:val="autotext"/>
      </w:docPartObj>
    </w:sdtPr>
    <w:sdtEndPr>
      <w:rPr>
        <w:rFonts w:asciiTheme="minorEastAsia" w:hAnsiTheme="minorEastAsia"/>
        <w:sz w:val="28"/>
        <w:szCs w:val="28"/>
      </w:rPr>
    </w:sdtEndPr>
    <w:sdtContent>
      <w:p>
        <w:pPr>
          <w:pStyle w:val="10"/>
          <w:jc w:val="righ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17</w:t>
        </w:r>
        <w:r>
          <w:rPr>
            <w:rFonts w:asciiTheme="minorEastAsia" w:hAnsiTheme="minorEastAsia"/>
            <w:sz w:val="28"/>
            <w:szCs w:val="28"/>
          </w:rPr>
          <w:fldChar w:fldCharType="end"/>
        </w:r>
        <w:r>
          <w:rPr>
            <w:rFonts w:asciiTheme="minorEastAsia" w:hAnsiTheme="minorEastAsia"/>
            <w:sz w:val="28"/>
            <w:szCs w:val="28"/>
          </w:rPr>
          <w:t>-</w:t>
        </w:r>
      </w:p>
    </w:sdtContent>
  </w:sdt>
  <w:p>
    <w:pPr>
      <w:pStyle w:val="10"/>
      <w:tabs>
        <w:tab w:val="left" w:pos="7035"/>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97B98"/>
    <w:rsid w:val="000007C7"/>
    <w:rsid w:val="000012BA"/>
    <w:rsid w:val="00010184"/>
    <w:rsid w:val="00011605"/>
    <w:rsid w:val="0001217B"/>
    <w:rsid w:val="000128F7"/>
    <w:rsid w:val="0001362A"/>
    <w:rsid w:val="0002158C"/>
    <w:rsid w:val="0002213D"/>
    <w:rsid w:val="00023320"/>
    <w:rsid w:val="00023F0D"/>
    <w:rsid w:val="000261F6"/>
    <w:rsid w:val="00027EC5"/>
    <w:rsid w:val="00030825"/>
    <w:rsid w:val="00030A1A"/>
    <w:rsid w:val="000332BD"/>
    <w:rsid w:val="00037044"/>
    <w:rsid w:val="0004000D"/>
    <w:rsid w:val="00041EE0"/>
    <w:rsid w:val="00045F82"/>
    <w:rsid w:val="000461B7"/>
    <w:rsid w:val="000465FA"/>
    <w:rsid w:val="00047F4B"/>
    <w:rsid w:val="00051035"/>
    <w:rsid w:val="00054B26"/>
    <w:rsid w:val="00054C14"/>
    <w:rsid w:val="00061E47"/>
    <w:rsid w:val="00063C1F"/>
    <w:rsid w:val="0006482B"/>
    <w:rsid w:val="00065CE6"/>
    <w:rsid w:val="0006698F"/>
    <w:rsid w:val="00070A03"/>
    <w:rsid w:val="00082D2A"/>
    <w:rsid w:val="00083DCD"/>
    <w:rsid w:val="0008435B"/>
    <w:rsid w:val="00084E82"/>
    <w:rsid w:val="00085928"/>
    <w:rsid w:val="00090423"/>
    <w:rsid w:val="00091A47"/>
    <w:rsid w:val="00093859"/>
    <w:rsid w:val="00096453"/>
    <w:rsid w:val="000A0642"/>
    <w:rsid w:val="000A0BBE"/>
    <w:rsid w:val="000A23A0"/>
    <w:rsid w:val="000A5DDC"/>
    <w:rsid w:val="000A5E94"/>
    <w:rsid w:val="000B0A6B"/>
    <w:rsid w:val="000B1B70"/>
    <w:rsid w:val="000B23E7"/>
    <w:rsid w:val="000B4A8C"/>
    <w:rsid w:val="000B4F0E"/>
    <w:rsid w:val="000B4FBB"/>
    <w:rsid w:val="000B7678"/>
    <w:rsid w:val="000C0718"/>
    <w:rsid w:val="000C3B43"/>
    <w:rsid w:val="000C498C"/>
    <w:rsid w:val="000D2FA7"/>
    <w:rsid w:val="000D62F3"/>
    <w:rsid w:val="000D6A45"/>
    <w:rsid w:val="000D7C25"/>
    <w:rsid w:val="000E2204"/>
    <w:rsid w:val="000E3A07"/>
    <w:rsid w:val="000E4BB0"/>
    <w:rsid w:val="000E5133"/>
    <w:rsid w:val="000E535F"/>
    <w:rsid w:val="000E58EB"/>
    <w:rsid w:val="000E6D9B"/>
    <w:rsid w:val="000E78AA"/>
    <w:rsid w:val="000F2468"/>
    <w:rsid w:val="000F311B"/>
    <w:rsid w:val="000F5858"/>
    <w:rsid w:val="000F5ACF"/>
    <w:rsid w:val="000F5D30"/>
    <w:rsid w:val="000F6844"/>
    <w:rsid w:val="000F6F25"/>
    <w:rsid w:val="000F770A"/>
    <w:rsid w:val="001019CB"/>
    <w:rsid w:val="00104335"/>
    <w:rsid w:val="0010484D"/>
    <w:rsid w:val="00104BEC"/>
    <w:rsid w:val="00104DE2"/>
    <w:rsid w:val="00106F32"/>
    <w:rsid w:val="00107B44"/>
    <w:rsid w:val="00107FAA"/>
    <w:rsid w:val="00110E20"/>
    <w:rsid w:val="00111521"/>
    <w:rsid w:val="001115D0"/>
    <w:rsid w:val="001123EA"/>
    <w:rsid w:val="00113A5B"/>
    <w:rsid w:val="00113DEA"/>
    <w:rsid w:val="00114079"/>
    <w:rsid w:val="00114E39"/>
    <w:rsid w:val="00122414"/>
    <w:rsid w:val="00125BCE"/>
    <w:rsid w:val="00127723"/>
    <w:rsid w:val="00130666"/>
    <w:rsid w:val="00136424"/>
    <w:rsid w:val="001370B5"/>
    <w:rsid w:val="00141DAB"/>
    <w:rsid w:val="00143680"/>
    <w:rsid w:val="00156867"/>
    <w:rsid w:val="00157206"/>
    <w:rsid w:val="00160C91"/>
    <w:rsid w:val="00162CD7"/>
    <w:rsid w:val="00163521"/>
    <w:rsid w:val="001652BA"/>
    <w:rsid w:val="001672F5"/>
    <w:rsid w:val="00167E8F"/>
    <w:rsid w:val="00172550"/>
    <w:rsid w:val="00173447"/>
    <w:rsid w:val="00173F06"/>
    <w:rsid w:val="001742D3"/>
    <w:rsid w:val="00174519"/>
    <w:rsid w:val="0017472B"/>
    <w:rsid w:val="001818E6"/>
    <w:rsid w:val="00182937"/>
    <w:rsid w:val="001842AB"/>
    <w:rsid w:val="0018471E"/>
    <w:rsid w:val="00184821"/>
    <w:rsid w:val="0019454E"/>
    <w:rsid w:val="001956F7"/>
    <w:rsid w:val="00196302"/>
    <w:rsid w:val="001A0774"/>
    <w:rsid w:val="001A202E"/>
    <w:rsid w:val="001A2F8A"/>
    <w:rsid w:val="001A3DE4"/>
    <w:rsid w:val="001A4CC0"/>
    <w:rsid w:val="001A4F6D"/>
    <w:rsid w:val="001A5354"/>
    <w:rsid w:val="001A5DBB"/>
    <w:rsid w:val="001B0633"/>
    <w:rsid w:val="001B348D"/>
    <w:rsid w:val="001C189D"/>
    <w:rsid w:val="001C323B"/>
    <w:rsid w:val="001C34E7"/>
    <w:rsid w:val="001C3E84"/>
    <w:rsid w:val="001C772F"/>
    <w:rsid w:val="001D099B"/>
    <w:rsid w:val="001D0D84"/>
    <w:rsid w:val="001D5208"/>
    <w:rsid w:val="001D55B9"/>
    <w:rsid w:val="001D70C9"/>
    <w:rsid w:val="001E0019"/>
    <w:rsid w:val="001E19BD"/>
    <w:rsid w:val="001E19FC"/>
    <w:rsid w:val="001E2C7D"/>
    <w:rsid w:val="001E34F8"/>
    <w:rsid w:val="001E4F9E"/>
    <w:rsid w:val="001F069F"/>
    <w:rsid w:val="001F0FAE"/>
    <w:rsid w:val="001F36A8"/>
    <w:rsid w:val="001F3AFD"/>
    <w:rsid w:val="001F3D30"/>
    <w:rsid w:val="001F5363"/>
    <w:rsid w:val="001F6265"/>
    <w:rsid w:val="00200FDF"/>
    <w:rsid w:val="0020131D"/>
    <w:rsid w:val="002029AB"/>
    <w:rsid w:val="00202FE5"/>
    <w:rsid w:val="00206670"/>
    <w:rsid w:val="00206CEA"/>
    <w:rsid w:val="002130A5"/>
    <w:rsid w:val="00214C61"/>
    <w:rsid w:val="0021604A"/>
    <w:rsid w:val="002160AC"/>
    <w:rsid w:val="00221343"/>
    <w:rsid w:val="00221609"/>
    <w:rsid w:val="002218E8"/>
    <w:rsid w:val="00222E46"/>
    <w:rsid w:val="00223F8E"/>
    <w:rsid w:val="0022434B"/>
    <w:rsid w:val="00225C2F"/>
    <w:rsid w:val="00227120"/>
    <w:rsid w:val="00227D08"/>
    <w:rsid w:val="002317CF"/>
    <w:rsid w:val="002331FB"/>
    <w:rsid w:val="0023546E"/>
    <w:rsid w:val="0023581F"/>
    <w:rsid w:val="00236210"/>
    <w:rsid w:val="002372E1"/>
    <w:rsid w:val="00240F44"/>
    <w:rsid w:val="0024215C"/>
    <w:rsid w:val="002433FE"/>
    <w:rsid w:val="002441AC"/>
    <w:rsid w:val="0024618D"/>
    <w:rsid w:val="0024643E"/>
    <w:rsid w:val="00246E7C"/>
    <w:rsid w:val="0025123A"/>
    <w:rsid w:val="002545FD"/>
    <w:rsid w:val="002558D6"/>
    <w:rsid w:val="00255AF6"/>
    <w:rsid w:val="00255B06"/>
    <w:rsid w:val="002636DD"/>
    <w:rsid w:val="00264794"/>
    <w:rsid w:val="00264969"/>
    <w:rsid w:val="00264C8D"/>
    <w:rsid w:val="00264CC7"/>
    <w:rsid w:val="00267301"/>
    <w:rsid w:val="00271BB1"/>
    <w:rsid w:val="00271CFE"/>
    <w:rsid w:val="00272747"/>
    <w:rsid w:val="00275785"/>
    <w:rsid w:val="00275D6A"/>
    <w:rsid w:val="00276584"/>
    <w:rsid w:val="002808F2"/>
    <w:rsid w:val="00283061"/>
    <w:rsid w:val="00283810"/>
    <w:rsid w:val="00285085"/>
    <w:rsid w:val="002A0ED5"/>
    <w:rsid w:val="002A253A"/>
    <w:rsid w:val="002A2E7E"/>
    <w:rsid w:val="002A312B"/>
    <w:rsid w:val="002A3BAB"/>
    <w:rsid w:val="002A41CE"/>
    <w:rsid w:val="002A4C5A"/>
    <w:rsid w:val="002A55B5"/>
    <w:rsid w:val="002A57E3"/>
    <w:rsid w:val="002A5C6E"/>
    <w:rsid w:val="002A6877"/>
    <w:rsid w:val="002A7C7C"/>
    <w:rsid w:val="002B35D0"/>
    <w:rsid w:val="002B673B"/>
    <w:rsid w:val="002C007E"/>
    <w:rsid w:val="002C189B"/>
    <w:rsid w:val="002C33A5"/>
    <w:rsid w:val="002C43A4"/>
    <w:rsid w:val="002C5010"/>
    <w:rsid w:val="002C723C"/>
    <w:rsid w:val="002D07E6"/>
    <w:rsid w:val="002D24E6"/>
    <w:rsid w:val="002D3AD2"/>
    <w:rsid w:val="002D3E42"/>
    <w:rsid w:val="002D57B2"/>
    <w:rsid w:val="002D5F33"/>
    <w:rsid w:val="002E0546"/>
    <w:rsid w:val="002E1604"/>
    <w:rsid w:val="002E383F"/>
    <w:rsid w:val="002E3BEE"/>
    <w:rsid w:val="002E4366"/>
    <w:rsid w:val="002E565B"/>
    <w:rsid w:val="002E6051"/>
    <w:rsid w:val="002E6577"/>
    <w:rsid w:val="002E73AF"/>
    <w:rsid w:val="002F0D94"/>
    <w:rsid w:val="002F11D8"/>
    <w:rsid w:val="003002B5"/>
    <w:rsid w:val="00300D6D"/>
    <w:rsid w:val="00313C6A"/>
    <w:rsid w:val="00320620"/>
    <w:rsid w:val="00322101"/>
    <w:rsid w:val="003229AA"/>
    <w:rsid w:val="00323292"/>
    <w:rsid w:val="00323ADB"/>
    <w:rsid w:val="003247E1"/>
    <w:rsid w:val="00327FE2"/>
    <w:rsid w:val="00330DA5"/>
    <w:rsid w:val="0033110F"/>
    <w:rsid w:val="003374D0"/>
    <w:rsid w:val="003404A0"/>
    <w:rsid w:val="0034135E"/>
    <w:rsid w:val="003424BC"/>
    <w:rsid w:val="0034290C"/>
    <w:rsid w:val="00342E8D"/>
    <w:rsid w:val="00343490"/>
    <w:rsid w:val="00344DD3"/>
    <w:rsid w:val="00345124"/>
    <w:rsid w:val="003455B3"/>
    <w:rsid w:val="00346610"/>
    <w:rsid w:val="003530B2"/>
    <w:rsid w:val="003532C5"/>
    <w:rsid w:val="00355DFA"/>
    <w:rsid w:val="0036458C"/>
    <w:rsid w:val="00365700"/>
    <w:rsid w:val="00365B04"/>
    <w:rsid w:val="00365DB1"/>
    <w:rsid w:val="00366163"/>
    <w:rsid w:val="003676CC"/>
    <w:rsid w:val="00371333"/>
    <w:rsid w:val="00371694"/>
    <w:rsid w:val="0037292C"/>
    <w:rsid w:val="00374BB7"/>
    <w:rsid w:val="00377416"/>
    <w:rsid w:val="003811C2"/>
    <w:rsid w:val="00385897"/>
    <w:rsid w:val="00390753"/>
    <w:rsid w:val="00392598"/>
    <w:rsid w:val="003946CF"/>
    <w:rsid w:val="0039660F"/>
    <w:rsid w:val="0039774F"/>
    <w:rsid w:val="003A2D0E"/>
    <w:rsid w:val="003A5805"/>
    <w:rsid w:val="003A7C3A"/>
    <w:rsid w:val="003A7EE1"/>
    <w:rsid w:val="003B0A50"/>
    <w:rsid w:val="003B649D"/>
    <w:rsid w:val="003C4384"/>
    <w:rsid w:val="003C6474"/>
    <w:rsid w:val="003D1306"/>
    <w:rsid w:val="003D1413"/>
    <w:rsid w:val="003D2E3C"/>
    <w:rsid w:val="003D48BB"/>
    <w:rsid w:val="003D4AA7"/>
    <w:rsid w:val="003D5FC5"/>
    <w:rsid w:val="003E05D9"/>
    <w:rsid w:val="003E1C7D"/>
    <w:rsid w:val="003E6184"/>
    <w:rsid w:val="003E6418"/>
    <w:rsid w:val="003E6E57"/>
    <w:rsid w:val="003E7C3A"/>
    <w:rsid w:val="003F0436"/>
    <w:rsid w:val="003F1D4E"/>
    <w:rsid w:val="003F2C85"/>
    <w:rsid w:val="003F3AD6"/>
    <w:rsid w:val="003F4676"/>
    <w:rsid w:val="004021A0"/>
    <w:rsid w:val="00412776"/>
    <w:rsid w:val="004136B5"/>
    <w:rsid w:val="004137D6"/>
    <w:rsid w:val="004144BF"/>
    <w:rsid w:val="00415B18"/>
    <w:rsid w:val="00416F61"/>
    <w:rsid w:val="00420968"/>
    <w:rsid w:val="00420F9C"/>
    <w:rsid w:val="00423AEC"/>
    <w:rsid w:val="00426DE2"/>
    <w:rsid w:val="004303FC"/>
    <w:rsid w:val="00436F7C"/>
    <w:rsid w:val="004402AA"/>
    <w:rsid w:val="004407A0"/>
    <w:rsid w:val="004408E8"/>
    <w:rsid w:val="004429F9"/>
    <w:rsid w:val="0044380C"/>
    <w:rsid w:val="00443BD0"/>
    <w:rsid w:val="00444099"/>
    <w:rsid w:val="00444785"/>
    <w:rsid w:val="00445C2B"/>
    <w:rsid w:val="0044706C"/>
    <w:rsid w:val="004510E8"/>
    <w:rsid w:val="00451299"/>
    <w:rsid w:val="00455391"/>
    <w:rsid w:val="00457C20"/>
    <w:rsid w:val="00457D2D"/>
    <w:rsid w:val="00460A3C"/>
    <w:rsid w:val="00463DF7"/>
    <w:rsid w:val="00464030"/>
    <w:rsid w:val="00464E09"/>
    <w:rsid w:val="00466720"/>
    <w:rsid w:val="00470FB7"/>
    <w:rsid w:val="00473205"/>
    <w:rsid w:val="00473CE4"/>
    <w:rsid w:val="00476A0F"/>
    <w:rsid w:val="004779F6"/>
    <w:rsid w:val="00480FD0"/>
    <w:rsid w:val="00483274"/>
    <w:rsid w:val="004839D9"/>
    <w:rsid w:val="00485333"/>
    <w:rsid w:val="00485910"/>
    <w:rsid w:val="00491DEE"/>
    <w:rsid w:val="00492004"/>
    <w:rsid w:val="00493B50"/>
    <w:rsid w:val="0049475E"/>
    <w:rsid w:val="004A05AB"/>
    <w:rsid w:val="004A195B"/>
    <w:rsid w:val="004A2B6B"/>
    <w:rsid w:val="004A47CC"/>
    <w:rsid w:val="004A4B3F"/>
    <w:rsid w:val="004A5339"/>
    <w:rsid w:val="004A63AC"/>
    <w:rsid w:val="004A6809"/>
    <w:rsid w:val="004A6ECF"/>
    <w:rsid w:val="004A73E0"/>
    <w:rsid w:val="004A7B58"/>
    <w:rsid w:val="004B0E48"/>
    <w:rsid w:val="004B2780"/>
    <w:rsid w:val="004B35FF"/>
    <w:rsid w:val="004B4DD2"/>
    <w:rsid w:val="004C0359"/>
    <w:rsid w:val="004C0497"/>
    <w:rsid w:val="004C0BDF"/>
    <w:rsid w:val="004C397E"/>
    <w:rsid w:val="004C49F0"/>
    <w:rsid w:val="004D1F5A"/>
    <w:rsid w:val="004D6442"/>
    <w:rsid w:val="004E2C03"/>
    <w:rsid w:val="004E58F7"/>
    <w:rsid w:val="004E6459"/>
    <w:rsid w:val="004E69DA"/>
    <w:rsid w:val="004F1C9E"/>
    <w:rsid w:val="004F4F21"/>
    <w:rsid w:val="004F7808"/>
    <w:rsid w:val="004F7FB4"/>
    <w:rsid w:val="005044F3"/>
    <w:rsid w:val="00507C40"/>
    <w:rsid w:val="005105BD"/>
    <w:rsid w:val="0051311F"/>
    <w:rsid w:val="00513173"/>
    <w:rsid w:val="0051377B"/>
    <w:rsid w:val="0051421A"/>
    <w:rsid w:val="00514945"/>
    <w:rsid w:val="00520454"/>
    <w:rsid w:val="00520622"/>
    <w:rsid w:val="00520C36"/>
    <w:rsid w:val="005217A8"/>
    <w:rsid w:val="00521A16"/>
    <w:rsid w:val="00522262"/>
    <w:rsid w:val="00522AB1"/>
    <w:rsid w:val="00522C7F"/>
    <w:rsid w:val="00522DAD"/>
    <w:rsid w:val="00530CDB"/>
    <w:rsid w:val="0053176E"/>
    <w:rsid w:val="00531968"/>
    <w:rsid w:val="00532147"/>
    <w:rsid w:val="00532C23"/>
    <w:rsid w:val="005340A2"/>
    <w:rsid w:val="00535F21"/>
    <w:rsid w:val="005379FF"/>
    <w:rsid w:val="005425A9"/>
    <w:rsid w:val="005431B7"/>
    <w:rsid w:val="00543A89"/>
    <w:rsid w:val="005443FF"/>
    <w:rsid w:val="00544E42"/>
    <w:rsid w:val="0054582C"/>
    <w:rsid w:val="00545896"/>
    <w:rsid w:val="005472DF"/>
    <w:rsid w:val="005475E2"/>
    <w:rsid w:val="00551506"/>
    <w:rsid w:val="00552484"/>
    <w:rsid w:val="005554D3"/>
    <w:rsid w:val="00561B48"/>
    <w:rsid w:val="00561FDF"/>
    <w:rsid w:val="0056414D"/>
    <w:rsid w:val="00565F0A"/>
    <w:rsid w:val="005700B1"/>
    <w:rsid w:val="0057222D"/>
    <w:rsid w:val="00572520"/>
    <w:rsid w:val="00573228"/>
    <w:rsid w:val="00575253"/>
    <w:rsid w:val="0057546C"/>
    <w:rsid w:val="00575B1B"/>
    <w:rsid w:val="00580A7A"/>
    <w:rsid w:val="00582511"/>
    <w:rsid w:val="00583526"/>
    <w:rsid w:val="0058573E"/>
    <w:rsid w:val="005860D6"/>
    <w:rsid w:val="005875D6"/>
    <w:rsid w:val="005936CC"/>
    <w:rsid w:val="00594497"/>
    <w:rsid w:val="0059507E"/>
    <w:rsid w:val="00595878"/>
    <w:rsid w:val="00595B5D"/>
    <w:rsid w:val="0059650A"/>
    <w:rsid w:val="00596A6A"/>
    <w:rsid w:val="005971E3"/>
    <w:rsid w:val="00597B98"/>
    <w:rsid w:val="005A0E51"/>
    <w:rsid w:val="005A19DE"/>
    <w:rsid w:val="005A233A"/>
    <w:rsid w:val="005A2EF2"/>
    <w:rsid w:val="005A403A"/>
    <w:rsid w:val="005B0F83"/>
    <w:rsid w:val="005B18D8"/>
    <w:rsid w:val="005B2C9D"/>
    <w:rsid w:val="005B3B32"/>
    <w:rsid w:val="005B5F30"/>
    <w:rsid w:val="005B5FF2"/>
    <w:rsid w:val="005C554A"/>
    <w:rsid w:val="005D002E"/>
    <w:rsid w:val="005D0EC7"/>
    <w:rsid w:val="005D4B78"/>
    <w:rsid w:val="005E23C6"/>
    <w:rsid w:val="005E2BAD"/>
    <w:rsid w:val="005E373A"/>
    <w:rsid w:val="005E508D"/>
    <w:rsid w:val="005E7F28"/>
    <w:rsid w:val="005F0AE5"/>
    <w:rsid w:val="005F3036"/>
    <w:rsid w:val="005F64B4"/>
    <w:rsid w:val="005F70A8"/>
    <w:rsid w:val="0060181C"/>
    <w:rsid w:val="00602004"/>
    <w:rsid w:val="006020B7"/>
    <w:rsid w:val="006032C9"/>
    <w:rsid w:val="0060345F"/>
    <w:rsid w:val="006034C1"/>
    <w:rsid w:val="00605ADE"/>
    <w:rsid w:val="00606735"/>
    <w:rsid w:val="00607975"/>
    <w:rsid w:val="0061240E"/>
    <w:rsid w:val="00612998"/>
    <w:rsid w:val="00614FE7"/>
    <w:rsid w:val="0062039E"/>
    <w:rsid w:val="00620AD0"/>
    <w:rsid w:val="006230DB"/>
    <w:rsid w:val="00624C34"/>
    <w:rsid w:val="00624E89"/>
    <w:rsid w:val="006268E5"/>
    <w:rsid w:val="00626AB5"/>
    <w:rsid w:val="006302A4"/>
    <w:rsid w:val="00630A66"/>
    <w:rsid w:val="00635612"/>
    <w:rsid w:val="00635F32"/>
    <w:rsid w:val="0064020B"/>
    <w:rsid w:val="006462DF"/>
    <w:rsid w:val="006464BE"/>
    <w:rsid w:val="0064655A"/>
    <w:rsid w:val="00646F15"/>
    <w:rsid w:val="00647505"/>
    <w:rsid w:val="006476F2"/>
    <w:rsid w:val="006502FC"/>
    <w:rsid w:val="0065220E"/>
    <w:rsid w:val="0065264D"/>
    <w:rsid w:val="00652A82"/>
    <w:rsid w:val="006543DD"/>
    <w:rsid w:val="006558BE"/>
    <w:rsid w:val="00656289"/>
    <w:rsid w:val="006601E9"/>
    <w:rsid w:val="00666CAE"/>
    <w:rsid w:val="006772E4"/>
    <w:rsid w:val="00680E91"/>
    <w:rsid w:val="0068277D"/>
    <w:rsid w:val="00682EB9"/>
    <w:rsid w:val="00683DAE"/>
    <w:rsid w:val="006858BB"/>
    <w:rsid w:val="00686BBC"/>
    <w:rsid w:val="00687138"/>
    <w:rsid w:val="00691FE8"/>
    <w:rsid w:val="00692016"/>
    <w:rsid w:val="00692DEC"/>
    <w:rsid w:val="00692EFF"/>
    <w:rsid w:val="006957BA"/>
    <w:rsid w:val="006960FC"/>
    <w:rsid w:val="00696624"/>
    <w:rsid w:val="00697D4B"/>
    <w:rsid w:val="006A03D9"/>
    <w:rsid w:val="006A19B5"/>
    <w:rsid w:val="006A3B1D"/>
    <w:rsid w:val="006A64D3"/>
    <w:rsid w:val="006A76DC"/>
    <w:rsid w:val="006B0A2C"/>
    <w:rsid w:val="006C1277"/>
    <w:rsid w:val="006C1A4A"/>
    <w:rsid w:val="006C2396"/>
    <w:rsid w:val="006C54D0"/>
    <w:rsid w:val="006D287D"/>
    <w:rsid w:val="006D3D80"/>
    <w:rsid w:val="006D78C9"/>
    <w:rsid w:val="006E0B0C"/>
    <w:rsid w:val="006E153B"/>
    <w:rsid w:val="006E206C"/>
    <w:rsid w:val="006E2FA8"/>
    <w:rsid w:val="006E3686"/>
    <w:rsid w:val="006E41DB"/>
    <w:rsid w:val="006E5A7F"/>
    <w:rsid w:val="006E6426"/>
    <w:rsid w:val="006E6C63"/>
    <w:rsid w:val="006F0A4C"/>
    <w:rsid w:val="006F22A4"/>
    <w:rsid w:val="006F2AD4"/>
    <w:rsid w:val="006F3AFF"/>
    <w:rsid w:val="006F46C4"/>
    <w:rsid w:val="006F5268"/>
    <w:rsid w:val="006F5CAD"/>
    <w:rsid w:val="006F63DA"/>
    <w:rsid w:val="006F67BC"/>
    <w:rsid w:val="00704A1B"/>
    <w:rsid w:val="00704FDF"/>
    <w:rsid w:val="007056CA"/>
    <w:rsid w:val="00706C93"/>
    <w:rsid w:val="00710F9C"/>
    <w:rsid w:val="00711DCC"/>
    <w:rsid w:val="00712FCA"/>
    <w:rsid w:val="007137CE"/>
    <w:rsid w:val="0071437D"/>
    <w:rsid w:val="0071514B"/>
    <w:rsid w:val="0071612F"/>
    <w:rsid w:val="00720997"/>
    <w:rsid w:val="00721EFE"/>
    <w:rsid w:val="00723675"/>
    <w:rsid w:val="00723BA2"/>
    <w:rsid w:val="0072593D"/>
    <w:rsid w:val="00725A48"/>
    <w:rsid w:val="007267E4"/>
    <w:rsid w:val="00726957"/>
    <w:rsid w:val="007305B2"/>
    <w:rsid w:val="007309C0"/>
    <w:rsid w:val="007315CC"/>
    <w:rsid w:val="0073201C"/>
    <w:rsid w:val="00734A72"/>
    <w:rsid w:val="007414DF"/>
    <w:rsid w:val="0074319D"/>
    <w:rsid w:val="007448FB"/>
    <w:rsid w:val="00744FFB"/>
    <w:rsid w:val="00745200"/>
    <w:rsid w:val="00746267"/>
    <w:rsid w:val="00747469"/>
    <w:rsid w:val="00747B3D"/>
    <w:rsid w:val="007513EF"/>
    <w:rsid w:val="00751AD5"/>
    <w:rsid w:val="0075248F"/>
    <w:rsid w:val="00753655"/>
    <w:rsid w:val="0075440C"/>
    <w:rsid w:val="00756223"/>
    <w:rsid w:val="007569B7"/>
    <w:rsid w:val="00757F2E"/>
    <w:rsid w:val="00762E49"/>
    <w:rsid w:val="007657A9"/>
    <w:rsid w:val="0076661F"/>
    <w:rsid w:val="00766CE5"/>
    <w:rsid w:val="00766ECC"/>
    <w:rsid w:val="0077007A"/>
    <w:rsid w:val="007714A4"/>
    <w:rsid w:val="00773FA8"/>
    <w:rsid w:val="007753D5"/>
    <w:rsid w:val="00775C26"/>
    <w:rsid w:val="0077613A"/>
    <w:rsid w:val="007801CD"/>
    <w:rsid w:val="007836B7"/>
    <w:rsid w:val="00785A5D"/>
    <w:rsid w:val="00787297"/>
    <w:rsid w:val="007875A2"/>
    <w:rsid w:val="007876B6"/>
    <w:rsid w:val="00793046"/>
    <w:rsid w:val="007955BD"/>
    <w:rsid w:val="0079791C"/>
    <w:rsid w:val="007A209F"/>
    <w:rsid w:val="007A2EBC"/>
    <w:rsid w:val="007A5803"/>
    <w:rsid w:val="007A5AB4"/>
    <w:rsid w:val="007A7FCE"/>
    <w:rsid w:val="007B033D"/>
    <w:rsid w:val="007B08DE"/>
    <w:rsid w:val="007B166F"/>
    <w:rsid w:val="007B1E0E"/>
    <w:rsid w:val="007B23A5"/>
    <w:rsid w:val="007B4C81"/>
    <w:rsid w:val="007C1372"/>
    <w:rsid w:val="007C2211"/>
    <w:rsid w:val="007C23D6"/>
    <w:rsid w:val="007C61C4"/>
    <w:rsid w:val="007C65B5"/>
    <w:rsid w:val="007D0ADB"/>
    <w:rsid w:val="007D195B"/>
    <w:rsid w:val="007D3E3A"/>
    <w:rsid w:val="007D7BF5"/>
    <w:rsid w:val="007E3A98"/>
    <w:rsid w:val="007E3BBB"/>
    <w:rsid w:val="007E4423"/>
    <w:rsid w:val="007E4844"/>
    <w:rsid w:val="007E5BAA"/>
    <w:rsid w:val="007E611E"/>
    <w:rsid w:val="007E7137"/>
    <w:rsid w:val="007F0C4A"/>
    <w:rsid w:val="007F14CA"/>
    <w:rsid w:val="007F2203"/>
    <w:rsid w:val="007F6F53"/>
    <w:rsid w:val="008004C2"/>
    <w:rsid w:val="00800553"/>
    <w:rsid w:val="00801EBB"/>
    <w:rsid w:val="00804CB7"/>
    <w:rsid w:val="0080521D"/>
    <w:rsid w:val="008053A4"/>
    <w:rsid w:val="00805FD8"/>
    <w:rsid w:val="008063A2"/>
    <w:rsid w:val="00807E08"/>
    <w:rsid w:val="00811E6F"/>
    <w:rsid w:val="0081208B"/>
    <w:rsid w:val="00813884"/>
    <w:rsid w:val="00815692"/>
    <w:rsid w:val="00815C92"/>
    <w:rsid w:val="0081695D"/>
    <w:rsid w:val="008172CB"/>
    <w:rsid w:val="0082212D"/>
    <w:rsid w:val="00822212"/>
    <w:rsid w:val="008222ED"/>
    <w:rsid w:val="00825397"/>
    <w:rsid w:val="00825412"/>
    <w:rsid w:val="008254D5"/>
    <w:rsid w:val="00825F20"/>
    <w:rsid w:val="0082719C"/>
    <w:rsid w:val="0082784A"/>
    <w:rsid w:val="00832C10"/>
    <w:rsid w:val="008453AE"/>
    <w:rsid w:val="0084637B"/>
    <w:rsid w:val="008468F1"/>
    <w:rsid w:val="00851410"/>
    <w:rsid w:val="0085547F"/>
    <w:rsid w:val="00857B92"/>
    <w:rsid w:val="00861CD5"/>
    <w:rsid w:val="0086215B"/>
    <w:rsid w:val="00862F70"/>
    <w:rsid w:val="00863FEB"/>
    <w:rsid w:val="008641CD"/>
    <w:rsid w:val="0086440A"/>
    <w:rsid w:val="00866CB2"/>
    <w:rsid w:val="00866ED8"/>
    <w:rsid w:val="00867B60"/>
    <w:rsid w:val="00871735"/>
    <w:rsid w:val="008718AF"/>
    <w:rsid w:val="008725A0"/>
    <w:rsid w:val="008729E5"/>
    <w:rsid w:val="0087312F"/>
    <w:rsid w:val="00874A57"/>
    <w:rsid w:val="00874B2E"/>
    <w:rsid w:val="00875DE0"/>
    <w:rsid w:val="00876BD1"/>
    <w:rsid w:val="00880B67"/>
    <w:rsid w:val="008811C4"/>
    <w:rsid w:val="00883770"/>
    <w:rsid w:val="008847B1"/>
    <w:rsid w:val="00891DF3"/>
    <w:rsid w:val="00892BFF"/>
    <w:rsid w:val="00893026"/>
    <w:rsid w:val="008936AE"/>
    <w:rsid w:val="00895175"/>
    <w:rsid w:val="008A0829"/>
    <w:rsid w:val="008A135F"/>
    <w:rsid w:val="008A73C3"/>
    <w:rsid w:val="008C3DD4"/>
    <w:rsid w:val="008C5518"/>
    <w:rsid w:val="008C62C2"/>
    <w:rsid w:val="008D17BB"/>
    <w:rsid w:val="008D1B28"/>
    <w:rsid w:val="008D2527"/>
    <w:rsid w:val="008D2FDB"/>
    <w:rsid w:val="008D51EA"/>
    <w:rsid w:val="008D5ED3"/>
    <w:rsid w:val="008D66A0"/>
    <w:rsid w:val="008D697B"/>
    <w:rsid w:val="008D7DE1"/>
    <w:rsid w:val="008E0A54"/>
    <w:rsid w:val="008E15C4"/>
    <w:rsid w:val="008E1FAC"/>
    <w:rsid w:val="008E22E2"/>
    <w:rsid w:val="008E2954"/>
    <w:rsid w:val="008E40C7"/>
    <w:rsid w:val="008E4604"/>
    <w:rsid w:val="008E49B0"/>
    <w:rsid w:val="008E4B66"/>
    <w:rsid w:val="008E59B9"/>
    <w:rsid w:val="008E64CA"/>
    <w:rsid w:val="008F50CE"/>
    <w:rsid w:val="008F765C"/>
    <w:rsid w:val="008F7BDE"/>
    <w:rsid w:val="00902A04"/>
    <w:rsid w:val="00902AD3"/>
    <w:rsid w:val="009045F2"/>
    <w:rsid w:val="00904AD2"/>
    <w:rsid w:val="00904E4A"/>
    <w:rsid w:val="00905C79"/>
    <w:rsid w:val="009133E8"/>
    <w:rsid w:val="009140AF"/>
    <w:rsid w:val="00914814"/>
    <w:rsid w:val="0091677A"/>
    <w:rsid w:val="00916B97"/>
    <w:rsid w:val="00917B18"/>
    <w:rsid w:val="0092009C"/>
    <w:rsid w:val="00922180"/>
    <w:rsid w:val="00922EB2"/>
    <w:rsid w:val="00930F38"/>
    <w:rsid w:val="009321A7"/>
    <w:rsid w:val="00932427"/>
    <w:rsid w:val="00933027"/>
    <w:rsid w:val="009333BE"/>
    <w:rsid w:val="00933725"/>
    <w:rsid w:val="00933E54"/>
    <w:rsid w:val="00934D75"/>
    <w:rsid w:val="00937FD3"/>
    <w:rsid w:val="00941416"/>
    <w:rsid w:val="00941D18"/>
    <w:rsid w:val="009429A6"/>
    <w:rsid w:val="0094355F"/>
    <w:rsid w:val="0094371F"/>
    <w:rsid w:val="00944EA1"/>
    <w:rsid w:val="00951BD0"/>
    <w:rsid w:val="00953E15"/>
    <w:rsid w:val="00964D33"/>
    <w:rsid w:val="00964DB3"/>
    <w:rsid w:val="00965DA0"/>
    <w:rsid w:val="009662D3"/>
    <w:rsid w:val="009719FE"/>
    <w:rsid w:val="00972151"/>
    <w:rsid w:val="009755BB"/>
    <w:rsid w:val="009770DB"/>
    <w:rsid w:val="00977B54"/>
    <w:rsid w:val="00977D40"/>
    <w:rsid w:val="009831A2"/>
    <w:rsid w:val="009853EB"/>
    <w:rsid w:val="00993627"/>
    <w:rsid w:val="009954A5"/>
    <w:rsid w:val="00996138"/>
    <w:rsid w:val="009966F4"/>
    <w:rsid w:val="009A0A39"/>
    <w:rsid w:val="009A10AC"/>
    <w:rsid w:val="009A4253"/>
    <w:rsid w:val="009A489A"/>
    <w:rsid w:val="009A525E"/>
    <w:rsid w:val="009A6620"/>
    <w:rsid w:val="009B72FD"/>
    <w:rsid w:val="009B767C"/>
    <w:rsid w:val="009C0C35"/>
    <w:rsid w:val="009C4414"/>
    <w:rsid w:val="009C6557"/>
    <w:rsid w:val="009C7204"/>
    <w:rsid w:val="009C7A0F"/>
    <w:rsid w:val="009C7DBD"/>
    <w:rsid w:val="009C7F06"/>
    <w:rsid w:val="009D10FA"/>
    <w:rsid w:val="009D154A"/>
    <w:rsid w:val="009D1DCD"/>
    <w:rsid w:val="009D3F4C"/>
    <w:rsid w:val="009D4B0B"/>
    <w:rsid w:val="009D4C21"/>
    <w:rsid w:val="009D5137"/>
    <w:rsid w:val="009E1DB0"/>
    <w:rsid w:val="009E1E96"/>
    <w:rsid w:val="009E22D9"/>
    <w:rsid w:val="009E3F1F"/>
    <w:rsid w:val="009E3F59"/>
    <w:rsid w:val="009E6B19"/>
    <w:rsid w:val="009F04DC"/>
    <w:rsid w:val="009F2F34"/>
    <w:rsid w:val="009F367B"/>
    <w:rsid w:val="009F3A82"/>
    <w:rsid w:val="009F3EAD"/>
    <w:rsid w:val="009F5F40"/>
    <w:rsid w:val="00A001FD"/>
    <w:rsid w:val="00A10271"/>
    <w:rsid w:val="00A10628"/>
    <w:rsid w:val="00A106FB"/>
    <w:rsid w:val="00A112AA"/>
    <w:rsid w:val="00A12FEB"/>
    <w:rsid w:val="00A13745"/>
    <w:rsid w:val="00A206E3"/>
    <w:rsid w:val="00A20A41"/>
    <w:rsid w:val="00A2399D"/>
    <w:rsid w:val="00A239B5"/>
    <w:rsid w:val="00A301A4"/>
    <w:rsid w:val="00A3088C"/>
    <w:rsid w:val="00A3368E"/>
    <w:rsid w:val="00A34FCD"/>
    <w:rsid w:val="00A37BCF"/>
    <w:rsid w:val="00A41328"/>
    <w:rsid w:val="00A41D80"/>
    <w:rsid w:val="00A43381"/>
    <w:rsid w:val="00A450E9"/>
    <w:rsid w:val="00A45D78"/>
    <w:rsid w:val="00A60007"/>
    <w:rsid w:val="00A605FE"/>
    <w:rsid w:val="00A60C9D"/>
    <w:rsid w:val="00A6183C"/>
    <w:rsid w:val="00A61F6F"/>
    <w:rsid w:val="00A62553"/>
    <w:rsid w:val="00A62645"/>
    <w:rsid w:val="00A63758"/>
    <w:rsid w:val="00A65CDB"/>
    <w:rsid w:val="00A6693F"/>
    <w:rsid w:val="00A677D0"/>
    <w:rsid w:val="00A74B30"/>
    <w:rsid w:val="00A773B5"/>
    <w:rsid w:val="00A80FE3"/>
    <w:rsid w:val="00A83208"/>
    <w:rsid w:val="00A8476E"/>
    <w:rsid w:val="00A851C4"/>
    <w:rsid w:val="00A87CDB"/>
    <w:rsid w:val="00A91F4C"/>
    <w:rsid w:val="00A92078"/>
    <w:rsid w:val="00A922AC"/>
    <w:rsid w:val="00A926C2"/>
    <w:rsid w:val="00A97A46"/>
    <w:rsid w:val="00AA2C7C"/>
    <w:rsid w:val="00AA3D7A"/>
    <w:rsid w:val="00AA4896"/>
    <w:rsid w:val="00AB0C5E"/>
    <w:rsid w:val="00AB3628"/>
    <w:rsid w:val="00AB6186"/>
    <w:rsid w:val="00AB61F3"/>
    <w:rsid w:val="00AC11A4"/>
    <w:rsid w:val="00AC1951"/>
    <w:rsid w:val="00AC2A4A"/>
    <w:rsid w:val="00AD0798"/>
    <w:rsid w:val="00AD48B5"/>
    <w:rsid w:val="00AD4A8A"/>
    <w:rsid w:val="00AD5133"/>
    <w:rsid w:val="00AD61B6"/>
    <w:rsid w:val="00AD780F"/>
    <w:rsid w:val="00AE2EB0"/>
    <w:rsid w:val="00AE3EC0"/>
    <w:rsid w:val="00AE63BB"/>
    <w:rsid w:val="00AE6915"/>
    <w:rsid w:val="00AE7047"/>
    <w:rsid w:val="00AF1FFC"/>
    <w:rsid w:val="00AF2D44"/>
    <w:rsid w:val="00AF5914"/>
    <w:rsid w:val="00AF62ED"/>
    <w:rsid w:val="00AF6424"/>
    <w:rsid w:val="00B00719"/>
    <w:rsid w:val="00B023F2"/>
    <w:rsid w:val="00B03D08"/>
    <w:rsid w:val="00B06933"/>
    <w:rsid w:val="00B10226"/>
    <w:rsid w:val="00B11C97"/>
    <w:rsid w:val="00B15A14"/>
    <w:rsid w:val="00B15B3B"/>
    <w:rsid w:val="00B21FD5"/>
    <w:rsid w:val="00B22781"/>
    <w:rsid w:val="00B23622"/>
    <w:rsid w:val="00B302C0"/>
    <w:rsid w:val="00B304A4"/>
    <w:rsid w:val="00B323B5"/>
    <w:rsid w:val="00B34C2E"/>
    <w:rsid w:val="00B36458"/>
    <w:rsid w:val="00B36B90"/>
    <w:rsid w:val="00B37186"/>
    <w:rsid w:val="00B374A5"/>
    <w:rsid w:val="00B433C6"/>
    <w:rsid w:val="00B43B1B"/>
    <w:rsid w:val="00B43FFE"/>
    <w:rsid w:val="00B47491"/>
    <w:rsid w:val="00B508FD"/>
    <w:rsid w:val="00B538B8"/>
    <w:rsid w:val="00B548FF"/>
    <w:rsid w:val="00B56F2A"/>
    <w:rsid w:val="00B57B64"/>
    <w:rsid w:val="00B601E7"/>
    <w:rsid w:val="00B61CE5"/>
    <w:rsid w:val="00B62C55"/>
    <w:rsid w:val="00B63BA0"/>
    <w:rsid w:val="00B64454"/>
    <w:rsid w:val="00B6660A"/>
    <w:rsid w:val="00B6781B"/>
    <w:rsid w:val="00B71CE7"/>
    <w:rsid w:val="00B741A7"/>
    <w:rsid w:val="00B7462A"/>
    <w:rsid w:val="00B76B51"/>
    <w:rsid w:val="00B77BD0"/>
    <w:rsid w:val="00B80169"/>
    <w:rsid w:val="00B80374"/>
    <w:rsid w:val="00B8073B"/>
    <w:rsid w:val="00B82BF7"/>
    <w:rsid w:val="00B831D1"/>
    <w:rsid w:val="00B91307"/>
    <w:rsid w:val="00B92829"/>
    <w:rsid w:val="00B95A8C"/>
    <w:rsid w:val="00B974DF"/>
    <w:rsid w:val="00BA0DC6"/>
    <w:rsid w:val="00BA12BD"/>
    <w:rsid w:val="00BA2214"/>
    <w:rsid w:val="00BA6E6A"/>
    <w:rsid w:val="00BB0432"/>
    <w:rsid w:val="00BB2182"/>
    <w:rsid w:val="00BB2943"/>
    <w:rsid w:val="00BB79A3"/>
    <w:rsid w:val="00BC2927"/>
    <w:rsid w:val="00BC2EE9"/>
    <w:rsid w:val="00BC5C88"/>
    <w:rsid w:val="00BD32B4"/>
    <w:rsid w:val="00BD434C"/>
    <w:rsid w:val="00BD44BD"/>
    <w:rsid w:val="00BD60BD"/>
    <w:rsid w:val="00BD6F59"/>
    <w:rsid w:val="00BD7432"/>
    <w:rsid w:val="00BD7A26"/>
    <w:rsid w:val="00BE2E30"/>
    <w:rsid w:val="00BE4AB9"/>
    <w:rsid w:val="00BE53C4"/>
    <w:rsid w:val="00BE5DED"/>
    <w:rsid w:val="00BF2226"/>
    <w:rsid w:val="00BF3991"/>
    <w:rsid w:val="00BF4739"/>
    <w:rsid w:val="00BF554D"/>
    <w:rsid w:val="00C002D8"/>
    <w:rsid w:val="00C00ACA"/>
    <w:rsid w:val="00C0174A"/>
    <w:rsid w:val="00C02ACA"/>
    <w:rsid w:val="00C035FA"/>
    <w:rsid w:val="00C05DF8"/>
    <w:rsid w:val="00C06D1B"/>
    <w:rsid w:val="00C073AB"/>
    <w:rsid w:val="00C116C7"/>
    <w:rsid w:val="00C12BE1"/>
    <w:rsid w:val="00C14748"/>
    <w:rsid w:val="00C20614"/>
    <w:rsid w:val="00C2185F"/>
    <w:rsid w:val="00C2396E"/>
    <w:rsid w:val="00C25474"/>
    <w:rsid w:val="00C26C20"/>
    <w:rsid w:val="00C26EDE"/>
    <w:rsid w:val="00C27105"/>
    <w:rsid w:val="00C30BB8"/>
    <w:rsid w:val="00C32325"/>
    <w:rsid w:val="00C325EE"/>
    <w:rsid w:val="00C34A67"/>
    <w:rsid w:val="00C4277A"/>
    <w:rsid w:val="00C506E0"/>
    <w:rsid w:val="00C521E1"/>
    <w:rsid w:val="00C538B4"/>
    <w:rsid w:val="00C56BDB"/>
    <w:rsid w:val="00C57552"/>
    <w:rsid w:val="00C636BF"/>
    <w:rsid w:val="00C64910"/>
    <w:rsid w:val="00C66C9A"/>
    <w:rsid w:val="00C67842"/>
    <w:rsid w:val="00C67AE5"/>
    <w:rsid w:val="00C71706"/>
    <w:rsid w:val="00C71F52"/>
    <w:rsid w:val="00C744D3"/>
    <w:rsid w:val="00C766C1"/>
    <w:rsid w:val="00C776D8"/>
    <w:rsid w:val="00C80098"/>
    <w:rsid w:val="00C81BB6"/>
    <w:rsid w:val="00C82889"/>
    <w:rsid w:val="00C8486D"/>
    <w:rsid w:val="00C867CB"/>
    <w:rsid w:val="00C86B1C"/>
    <w:rsid w:val="00C90A61"/>
    <w:rsid w:val="00C91B8E"/>
    <w:rsid w:val="00C93832"/>
    <w:rsid w:val="00C94A05"/>
    <w:rsid w:val="00C94B2E"/>
    <w:rsid w:val="00C9532E"/>
    <w:rsid w:val="00C96221"/>
    <w:rsid w:val="00C96A19"/>
    <w:rsid w:val="00C97DAB"/>
    <w:rsid w:val="00CA333D"/>
    <w:rsid w:val="00CA3C9A"/>
    <w:rsid w:val="00CA5400"/>
    <w:rsid w:val="00CA675E"/>
    <w:rsid w:val="00CA6E6A"/>
    <w:rsid w:val="00CA7ACC"/>
    <w:rsid w:val="00CB01CF"/>
    <w:rsid w:val="00CB05B5"/>
    <w:rsid w:val="00CB152B"/>
    <w:rsid w:val="00CB28F6"/>
    <w:rsid w:val="00CB4873"/>
    <w:rsid w:val="00CB550A"/>
    <w:rsid w:val="00CC20E2"/>
    <w:rsid w:val="00CC434A"/>
    <w:rsid w:val="00CC53BC"/>
    <w:rsid w:val="00CC7694"/>
    <w:rsid w:val="00CC7F1B"/>
    <w:rsid w:val="00CC7F34"/>
    <w:rsid w:val="00CD21F2"/>
    <w:rsid w:val="00CD3C8B"/>
    <w:rsid w:val="00CD6969"/>
    <w:rsid w:val="00CD7EEF"/>
    <w:rsid w:val="00CE23D7"/>
    <w:rsid w:val="00CE2FA0"/>
    <w:rsid w:val="00CE3139"/>
    <w:rsid w:val="00CF1E2D"/>
    <w:rsid w:val="00CF25F2"/>
    <w:rsid w:val="00CF2A0B"/>
    <w:rsid w:val="00CF4B17"/>
    <w:rsid w:val="00CF5A25"/>
    <w:rsid w:val="00CF678F"/>
    <w:rsid w:val="00D021F1"/>
    <w:rsid w:val="00D023D2"/>
    <w:rsid w:val="00D02B31"/>
    <w:rsid w:val="00D04103"/>
    <w:rsid w:val="00D071BC"/>
    <w:rsid w:val="00D11304"/>
    <w:rsid w:val="00D116A7"/>
    <w:rsid w:val="00D1171D"/>
    <w:rsid w:val="00D11903"/>
    <w:rsid w:val="00D14D68"/>
    <w:rsid w:val="00D14ED6"/>
    <w:rsid w:val="00D15A54"/>
    <w:rsid w:val="00D16249"/>
    <w:rsid w:val="00D22AB1"/>
    <w:rsid w:val="00D2390D"/>
    <w:rsid w:val="00D2796C"/>
    <w:rsid w:val="00D3047C"/>
    <w:rsid w:val="00D3147A"/>
    <w:rsid w:val="00D331A1"/>
    <w:rsid w:val="00D35278"/>
    <w:rsid w:val="00D36788"/>
    <w:rsid w:val="00D40383"/>
    <w:rsid w:val="00D427D2"/>
    <w:rsid w:val="00D42F62"/>
    <w:rsid w:val="00D50B5A"/>
    <w:rsid w:val="00D50F8E"/>
    <w:rsid w:val="00D5301C"/>
    <w:rsid w:val="00D53A4C"/>
    <w:rsid w:val="00D541EE"/>
    <w:rsid w:val="00D549C3"/>
    <w:rsid w:val="00D55303"/>
    <w:rsid w:val="00D60129"/>
    <w:rsid w:val="00D63111"/>
    <w:rsid w:val="00D647F7"/>
    <w:rsid w:val="00D668A4"/>
    <w:rsid w:val="00D67633"/>
    <w:rsid w:val="00D701DE"/>
    <w:rsid w:val="00D72063"/>
    <w:rsid w:val="00D73CA4"/>
    <w:rsid w:val="00D74364"/>
    <w:rsid w:val="00D75592"/>
    <w:rsid w:val="00D76A64"/>
    <w:rsid w:val="00D808BF"/>
    <w:rsid w:val="00D80934"/>
    <w:rsid w:val="00D80C84"/>
    <w:rsid w:val="00D81126"/>
    <w:rsid w:val="00D82B0F"/>
    <w:rsid w:val="00D83D57"/>
    <w:rsid w:val="00D843FD"/>
    <w:rsid w:val="00D864EE"/>
    <w:rsid w:val="00D86841"/>
    <w:rsid w:val="00D871BF"/>
    <w:rsid w:val="00D87B3C"/>
    <w:rsid w:val="00D91819"/>
    <w:rsid w:val="00D91AA4"/>
    <w:rsid w:val="00D9220A"/>
    <w:rsid w:val="00D92EDF"/>
    <w:rsid w:val="00D96D69"/>
    <w:rsid w:val="00DA0701"/>
    <w:rsid w:val="00DA0EB8"/>
    <w:rsid w:val="00DA17AB"/>
    <w:rsid w:val="00DA2C8E"/>
    <w:rsid w:val="00DA6A88"/>
    <w:rsid w:val="00DB112E"/>
    <w:rsid w:val="00DB3DD8"/>
    <w:rsid w:val="00DC00D4"/>
    <w:rsid w:val="00DC0A23"/>
    <w:rsid w:val="00DC0B9D"/>
    <w:rsid w:val="00DC1052"/>
    <w:rsid w:val="00DC1C5E"/>
    <w:rsid w:val="00DC2C4B"/>
    <w:rsid w:val="00DC3FF3"/>
    <w:rsid w:val="00DD32E5"/>
    <w:rsid w:val="00DD3F61"/>
    <w:rsid w:val="00DD5DB8"/>
    <w:rsid w:val="00DD6D05"/>
    <w:rsid w:val="00DE07CC"/>
    <w:rsid w:val="00DE172D"/>
    <w:rsid w:val="00DE185E"/>
    <w:rsid w:val="00DE229C"/>
    <w:rsid w:val="00DE3535"/>
    <w:rsid w:val="00DE6A6C"/>
    <w:rsid w:val="00DF093E"/>
    <w:rsid w:val="00DF0E94"/>
    <w:rsid w:val="00DF3FE1"/>
    <w:rsid w:val="00DF69AD"/>
    <w:rsid w:val="00DF78D5"/>
    <w:rsid w:val="00E0195C"/>
    <w:rsid w:val="00E01E81"/>
    <w:rsid w:val="00E03BA8"/>
    <w:rsid w:val="00E04FB9"/>
    <w:rsid w:val="00E05209"/>
    <w:rsid w:val="00E06A34"/>
    <w:rsid w:val="00E12408"/>
    <w:rsid w:val="00E12994"/>
    <w:rsid w:val="00E15CF4"/>
    <w:rsid w:val="00E179F5"/>
    <w:rsid w:val="00E20E8A"/>
    <w:rsid w:val="00E21D72"/>
    <w:rsid w:val="00E2252A"/>
    <w:rsid w:val="00E22DDF"/>
    <w:rsid w:val="00E23DC4"/>
    <w:rsid w:val="00E25EAA"/>
    <w:rsid w:val="00E26A3B"/>
    <w:rsid w:val="00E30B66"/>
    <w:rsid w:val="00E333E9"/>
    <w:rsid w:val="00E3370F"/>
    <w:rsid w:val="00E34530"/>
    <w:rsid w:val="00E4074C"/>
    <w:rsid w:val="00E41D95"/>
    <w:rsid w:val="00E44793"/>
    <w:rsid w:val="00E4609B"/>
    <w:rsid w:val="00E46593"/>
    <w:rsid w:val="00E46EC4"/>
    <w:rsid w:val="00E5176D"/>
    <w:rsid w:val="00E53ADA"/>
    <w:rsid w:val="00E53BE6"/>
    <w:rsid w:val="00E5520C"/>
    <w:rsid w:val="00E60F0F"/>
    <w:rsid w:val="00E60FC9"/>
    <w:rsid w:val="00E61A5E"/>
    <w:rsid w:val="00E63CE3"/>
    <w:rsid w:val="00E66EF5"/>
    <w:rsid w:val="00E67FE8"/>
    <w:rsid w:val="00E72279"/>
    <w:rsid w:val="00E7318D"/>
    <w:rsid w:val="00E73C5F"/>
    <w:rsid w:val="00E74ECE"/>
    <w:rsid w:val="00E75CA0"/>
    <w:rsid w:val="00E76451"/>
    <w:rsid w:val="00E76813"/>
    <w:rsid w:val="00E76ED4"/>
    <w:rsid w:val="00E77FAD"/>
    <w:rsid w:val="00E81E28"/>
    <w:rsid w:val="00E83B56"/>
    <w:rsid w:val="00E84977"/>
    <w:rsid w:val="00E849BC"/>
    <w:rsid w:val="00E849EA"/>
    <w:rsid w:val="00E84B88"/>
    <w:rsid w:val="00E9022D"/>
    <w:rsid w:val="00E90B5E"/>
    <w:rsid w:val="00E9132F"/>
    <w:rsid w:val="00E92593"/>
    <w:rsid w:val="00E95CFC"/>
    <w:rsid w:val="00EA3040"/>
    <w:rsid w:val="00EA57A6"/>
    <w:rsid w:val="00EB0366"/>
    <w:rsid w:val="00EB1465"/>
    <w:rsid w:val="00EB18D6"/>
    <w:rsid w:val="00EB6E2D"/>
    <w:rsid w:val="00EB74E3"/>
    <w:rsid w:val="00EB74FC"/>
    <w:rsid w:val="00EC2D40"/>
    <w:rsid w:val="00EC39A6"/>
    <w:rsid w:val="00EC4180"/>
    <w:rsid w:val="00EC46FD"/>
    <w:rsid w:val="00EC4CDE"/>
    <w:rsid w:val="00EC5261"/>
    <w:rsid w:val="00EC5288"/>
    <w:rsid w:val="00EC5715"/>
    <w:rsid w:val="00EE01EE"/>
    <w:rsid w:val="00EE0D8A"/>
    <w:rsid w:val="00EE0ED4"/>
    <w:rsid w:val="00EE1040"/>
    <w:rsid w:val="00EE147F"/>
    <w:rsid w:val="00EE257C"/>
    <w:rsid w:val="00EE3B27"/>
    <w:rsid w:val="00EE63E9"/>
    <w:rsid w:val="00EF150A"/>
    <w:rsid w:val="00EF1935"/>
    <w:rsid w:val="00EF473E"/>
    <w:rsid w:val="00EF67EF"/>
    <w:rsid w:val="00EF7DE9"/>
    <w:rsid w:val="00F00750"/>
    <w:rsid w:val="00F03977"/>
    <w:rsid w:val="00F05220"/>
    <w:rsid w:val="00F10007"/>
    <w:rsid w:val="00F16E74"/>
    <w:rsid w:val="00F203E8"/>
    <w:rsid w:val="00F25114"/>
    <w:rsid w:val="00F30A98"/>
    <w:rsid w:val="00F311C6"/>
    <w:rsid w:val="00F31763"/>
    <w:rsid w:val="00F32381"/>
    <w:rsid w:val="00F33612"/>
    <w:rsid w:val="00F3458D"/>
    <w:rsid w:val="00F350F3"/>
    <w:rsid w:val="00F35627"/>
    <w:rsid w:val="00F37A69"/>
    <w:rsid w:val="00F41881"/>
    <w:rsid w:val="00F424EE"/>
    <w:rsid w:val="00F42534"/>
    <w:rsid w:val="00F43EB2"/>
    <w:rsid w:val="00F442D2"/>
    <w:rsid w:val="00F445D2"/>
    <w:rsid w:val="00F447FA"/>
    <w:rsid w:val="00F464AE"/>
    <w:rsid w:val="00F46E36"/>
    <w:rsid w:val="00F546B2"/>
    <w:rsid w:val="00F54CB1"/>
    <w:rsid w:val="00F57593"/>
    <w:rsid w:val="00F6127E"/>
    <w:rsid w:val="00F61E63"/>
    <w:rsid w:val="00F63CE9"/>
    <w:rsid w:val="00F6434F"/>
    <w:rsid w:val="00F71AAD"/>
    <w:rsid w:val="00F72819"/>
    <w:rsid w:val="00F72EBB"/>
    <w:rsid w:val="00F7558D"/>
    <w:rsid w:val="00F77A2C"/>
    <w:rsid w:val="00F8348D"/>
    <w:rsid w:val="00F835FE"/>
    <w:rsid w:val="00F83C5C"/>
    <w:rsid w:val="00F85BD1"/>
    <w:rsid w:val="00F85E80"/>
    <w:rsid w:val="00F86A2C"/>
    <w:rsid w:val="00F96222"/>
    <w:rsid w:val="00FA0684"/>
    <w:rsid w:val="00FA1CA5"/>
    <w:rsid w:val="00FA1E89"/>
    <w:rsid w:val="00FA35CE"/>
    <w:rsid w:val="00FA47E7"/>
    <w:rsid w:val="00FA4C5F"/>
    <w:rsid w:val="00FA53EC"/>
    <w:rsid w:val="00FB0CDF"/>
    <w:rsid w:val="00FB2B1C"/>
    <w:rsid w:val="00FB3FCD"/>
    <w:rsid w:val="00FB6783"/>
    <w:rsid w:val="00FB7536"/>
    <w:rsid w:val="00FB7680"/>
    <w:rsid w:val="00FB7A1A"/>
    <w:rsid w:val="00FC3439"/>
    <w:rsid w:val="00FC5F87"/>
    <w:rsid w:val="00FD0DCD"/>
    <w:rsid w:val="00FD3770"/>
    <w:rsid w:val="00FD5D32"/>
    <w:rsid w:val="00FE19A4"/>
    <w:rsid w:val="00FE61BC"/>
    <w:rsid w:val="00FF0745"/>
    <w:rsid w:val="00FF24C5"/>
    <w:rsid w:val="00FF2856"/>
    <w:rsid w:val="00FF28F3"/>
    <w:rsid w:val="00FF3092"/>
    <w:rsid w:val="00FF3EE5"/>
    <w:rsid w:val="00FF4619"/>
    <w:rsid w:val="00FF48A5"/>
    <w:rsid w:val="00FF5767"/>
    <w:rsid w:val="02CB5C1E"/>
    <w:rsid w:val="03D861DC"/>
    <w:rsid w:val="04111E6F"/>
    <w:rsid w:val="09151ACB"/>
    <w:rsid w:val="0C7554D2"/>
    <w:rsid w:val="0F6848B7"/>
    <w:rsid w:val="0FAA3FFD"/>
    <w:rsid w:val="1095660A"/>
    <w:rsid w:val="12290CB3"/>
    <w:rsid w:val="12D67F56"/>
    <w:rsid w:val="155834EA"/>
    <w:rsid w:val="18D9090C"/>
    <w:rsid w:val="1DEA5B8A"/>
    <w:rsid w:val="26BF5967"/>
    <w:rsid w:val="278D3225"/>
    <w:rsid w:val="280E7B0D"/>
    <w:rsid w:val="2BFD75E0"/>
    <w:rsid w:val="30F5035B"/>
    <w:rsid w:val="31A4309B"/>
    <w:rsid w:val="31BA0866"/>
    <w:rsid w:val="3305212C"/>
    <w:rsid w:val="3371527C"/>
    <w:rsid w:val="34B36D8C"/>
    <w:rsid w:val="36422FC5"/>
    <w:rsid w:val="37934462"/>
    <w:rsid w:val="3A496213"/>
    <w:rsid w:val="3C8A1BFC"/>
    <w:rsid w:val="40C524A5"/>
    <w:rsid w:val="4261670F"/>
    <w:rsid w:val="44FC5852"/>
    <w:rsid w:val="47D53AFF"/>
    <w:rsid w:val="48DA1F70"/>
    <w:rsid w:val="4BAE2AFB"/>
    <w:rsid w:val="4C48574D"/>
    <w:rsid w:val="4C931FB7"/>
    <w:rsid w:val="4D195393"/>
    <w:rsid w:val="50D24283"/>
    <w:rsid w:val="51E93CFA"/>
    <w:rsid w:val="52D73C35"/>
    <w:rsid w:val="57327E43"/>
    <w:rsid w:val="576D3BC4"/>
    <w:rsid w:val="57870FA8"/>
    <w:rsid w:val="589B4D41"/>
    <w:rsid w:val="58D45128"/>
    <w:rsid w:val="5B9B69D2"/>
    <w:rsid w:val="5C9320DE"/>
    <w:rsid w:val="63786A46"/>
    <w:rsid w:val="64754D7B"/>
    <w:rsid w:val="64CE4545"/>
    <w:rsid w:val="65C12CB7"/>
    <w:rsid w:val="67672CEE"/>
    <w:rsid w:val="6954503F"/>
    <w:rsid w:val="69BD661E"/>
    <w:rsid w:val="6BEC04C2"/>
    <w:rsid w:val="6DCC4AFE"/>
    <w:rsid w:val="6E682806"/>
    <w:rsid w:val="70C24F7B"/>
    <w:rsid w:val="72142DC6"/>
    <w:rsid w:val="74BC48AE"/>
    <w:rsid w:val="76102583"/>
    <w:rsid w:val="7A257A2F"/>
    <w:rsid w:val="7C0826C6"/>
    <w:rsid w:val="7C877BBF"/>
    <w:rsid w:val="7E395D27"/>
    <w:rsid w:val="7E4E0D0F"/>
    <w:rsid w:val="7EC66E57"/>
    <w:rsid w:val="7F786A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5"/>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link w:val="40"/>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ascii="Times New Roman" w:hAnsi="Times New Roman" w:eastAsia="宋体" w:cs="Times New Roman"/>
      <w:szCs w:val="20"/>
    </w:rPr>
  </w:style>
  <w:style w:type="paragraph" w:styleId="3">
    <w:name w:val="envelope return"/>
    <w:basedOn w:val="1"/>
    <w:qFormat/>
    <w:uiPriority w:val="0"/>
    <w:pPr>
      <w:snapToGrid w:val="0"/>
    </w:pPr>
    <w:rPr>
      <w:rFonts w:ascii="Arial" w:hAnsi="Arial"/>
    </w:rPr>
  </w:style>
  <w:style w:type="paragraph" w:styleId="8">
    <w:name w:val="Body Text"/>
    <w:basedOn w:val="1"/>
    <w:link w:val="22"/>
    <w:qFormat/>
    <w:uiPriority w:val="1"/>
    <w:pPr>
      <w:ind w:left="118"/>
      <w:jc w:val="left"/>
    </w:pPr>
    <w:rPr>
      <w:rFonts w:ascii="仿宋_GB2312" w:hAnsi="仿宋_GB2312" w:eastAsia="仿宋_GB2312"/>
      <w:kern w:val="0"/>
      <w:sz w:val="32"/>
      <w:szCs w:val="32"/>
      <w:lang w:eastAsia="en-US"/>
    </w:rPr>
  </w:style>
  <w:style w:type="paragraph" w:styleId="9">
    <w:name w:val="Balloon Text"/>
    <w:basedOn w:val="1"/>
    <w:link w:val="28"/>
    <w:semiHidden/>
    <w:unhideWhenUsed/>
    <w:qFormat/>
    <w:uiPriority w:val="99"/>
    <w:rPr>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777"/>
      </w:tabs>
      <w:jc w:val="center"/>
    </w:pPr>
    <w:rPr>
      <w:rFonts w:ascii="微软雅黑" w:hAnsi="微软雅黑" w:eastAsia="宋体"/>
      <w:sz w:val="28"/>
      <w:szCs w:val="28"/>
    </w:rPr>
  </w:style>
  <w:style w:type="paragraph" w:styleId="13">
    <w:name w:val="toc 2"/>
    <w:basedOn w:val="1"/>
    <w:next w:val="1"/>
    <w:unhideWhenUsed/>
    <w:qFormat/>
    <w:uiPriority w:val="39"/>
    <w:pPr>
      <w:tabs>
        <w:tab w:val="right" w:leader="dot" w:pos="8777"/>
      </w:tabs>
      <w:ind w:left="200" w:leftChars="200"/>
    </w:pPr>
    <w:rPr>
      <w:rFonts w:ascii="黑体" w:hAnsi="黑体" w:eastAsia="宋体"/>
      <w:sz w:val="24"/>
      <w:szCs w:val="28"/>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7">
    <w:name w:val="Strong"/>
    <w:basedOn w:val="16"/>
    <w:qFormat/>
    <w:uiPriority w:val="99"/>
    <w:rPr>
      <w:b/>
      <w:bCs/>
    </w:rPr>
  </w:style>
  <w:style w:type="character" w:styleId="18">
    <w:name w:val="Hyperlink"/>
    <w:basedOn w:val="16"/>
    <w:unhideWhenUsed/>
    <w:qFormat/>
    <w:uiPriority w:val="99"/>
    <w:rPr>
      <w:color w:val="0000FF"/>
      <w:u w:val="single"/>
    </w:rPr>
  </w:style>
  <w:style w:type="character" w:customStyle="1" w:styleId="19">
    <w:name w:val="页眉 Char"/>
    <w:basedOn w:val="16"/>
    <w:link w:val="11"/>
    <w:qFormat/>
    <w:uiPriority w:val="99"/>
    <w:rPr>
      <w:sz w:val="18"/>
      <w:szCs w:val="18"/>
    </w:rPr>
  </w:style>
  <w:style w:type="character" w:customStyle="1" w:styleId="20">
    <w:name w:val="页脚 Char"/>
    <w:basedOn w:val="16"/>
    <w:link w:val="10"/>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正文文本 Char"/>
    <w:basedOn w:val="16"/>
    <w:link w:val="8"/>
    <w:qFormat/>
    <w:uiPriority w:val="1"/>
    <w:rPr>
      <w:rFonts w:ascii="仿宋_GB2312" w:hAnsi="仿宋_GB2312" w:eastAsia="仿宋_GB2312"/>
      <w:kern w:val="0"/>
      <w:sz w:val="32"/>
      <w:szCs w:val="32"/>
      <w:lang w:eastAsia="en-US"/>
    </w:rPr>
  </w:style>
  <w:style w:type="paragraph" w:customStyle="1" w:styleId="23">
    <w:name w:val="正文（正式）"/>
    <w:basedOn w:val="1"/>
    <w:qFormat/>
    <w:uiPriority w:val="0"/>
    <w:pPr>
      <w:widowControl/>
      <w:spacing w:after="160" w:line="240" w:lineRule="exact"/>
      <w:jc w:val="left"/>
    </w:pPr>
    <w:rPr>
      <w:rFonts w:ascii="Verdana" w:hAnsi="Verdana" w:eastAsia="仿宋_GB2312" w:cs="Times New Roman"/>
      <w:kern w:val="0"/>
      <w:sz w:val="28"/>
      <w:szCs w:val="20"/>
      <w:lang w:eastAsia="en-US"/>
    </w:rPr>
  </w:style>
  <w:style w:type="paragraph" w:customStyle="1" w:styleId="24">
    <w:name w:val="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6">
    <w:name w:val="cjk"/>
    <w:basedOn w:val="1"/>
    <w:qFormat/>
    <w:uiPriority w:val="99"/>
    <w:pPr>
      <w:widowControl/>
      <w:spacing w:before="100" w:beforeAutospacing="1" w:after="119"/>
    </w:pPr>
    <w:rPr>
      <w:rFonts w:ascii="宋体" w:hAnsi="宋体" w:eastAsia="宋体" w:cs="宋体"/>
      <w:color w:val="000000"/>
      <w:kern w:val="0"/>
      <w:sz w:val="20"/>
      <w:szCs w:val="20"/>
    </w:rPr>
  </w:style>
  <w:style w:type="paragraph" w:customStyle="1" w:styleId="27">
    <w:name w:val="正文 1"/>
    <w:basedOn w:val="1"/>
    <w:qFormat/>
    <w:uiPriority w:val="0"/>
    <w:pPr>
      <w:spacing w:line="460" w:lineRule="exact"/>
      <w:ind w:firstLine="510"/>
    </w:pPr>
    <w:rPr>
      <w:rFonts w:ascii="幼圆" w:eastAsia="幼圆"/>
      <w:sz w:val="24"/>
    </w:rPr>
  </w:style>
  <w:style w:type="character" w:customStyle="1" w:styleId="28">
    <w:name w:val="批注框文本 Char"/>
    <w:basedOn w:val="16"/>
    <w:link w:val="9"/>
    <w:semiHidden/>
    <w:qFormat/>
    <w:uiPriority w:val="99"/>
    <w:rPr>
      <w:rFonts w:asciiTheme="minorHAnsi" w:hAnsiTheme="minorHAnsi" w:eastAsiaTheme="minorEastAsia" w:cstheme="minorBidi"/>
      <w:kern w:val="2"/>
      <w:sz w:val="18"/>
      <w:szCs w:val="18"/>
    </w:rPr>
  </w:style>
  <w:style w:type="paragraph" w:customStyle="1" w:styleId="29">
    <w:name w:val="最大标题"/>
    <w:basedOn w:val="1"/>
    <w:link w:val="30"/>
    <w:qFormat/>
    <w:uiPriority w:val="0"/>
    <w:pPr>
      <w:spacing w:line="560" w:lineRule="exact"/>
      <w:jc w:val="center"/>
    </w:pPr>
    <w:rPr>
      <w:rFonts w:ascii="微软雅黑" w:hAnsi="微软雅黑" w:eastAsia="微软雅黑" w:cs="Times New Roman"/>
      <w:b/>
      <w:bCs/>
      <w:sz w:val="48"/>
      <w:szCs w:val="44"/>
    </w:rPr>
  </w:style>
  <w:style w:type="character" w:customStyle="1" w:styleId="30">
    <w:name w:val="最大标题 字符"/>
    <w:basedOn w:val="16"/>
    <w:link w:val="29"/>
    <w:qFormat/>
    <w:uiPriority w:val="0"/>
    <w:rPr>
      <w:rFonts w:ascii="微软雅黑" w:hAnsi="微软雅黑" w:eastAsia="微软雅黑"/>
      <w:b/>
      <w:bCs/>
      <w:kern w:val="2"/>
      <w:sz w:val="48"/>
      <w:szCs w:val="44"/>
    </w:rPr>
  </w:style>
  <w:style w:type="paragraph" w:customStyle="1" w:styleId="3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2">
    <w:name w:val="grame"/>
    <w:basedOn w:val="16"/>
    <w:qFormat/>
    <w:uiPriority w:val="0"/>
  </w:style>
  <w:style w:type="paragraph" w:customStyle="1" w:styleId="33">
    <w:name w:val="图片、表格及图片标注"/>
    <w:basedOn w:val="1"/>
    <w:link w:val="34"/>
    <w:qFormat/>
    <w:uiPriority w:val="0"/>
    <w:pPr>
      <w:jc w:val="center"/>
    </w:pPr>
    <w:rPr>
      <w:rFonts w:ascii="宋体" w:hAnsi="等线" w:eastAsia="宋体" w:cs="Times New Roman"/>
    </w:rPr>
  </w:style>
  <w:style w:type="character" w:customStyle="1" w:styleId="34">
    <w:name w:val="图片、表格及图片标注 字符"/>
    <w:basedOn w:val="16"/>
    <w:link w:val="33"/>
    <w:qFormat/>
    <w:uiPriority w:val="0"/>
    <w:rPr>
      <w:rFonts w:ascii="宋体" w:hAnsi="等线"/>
      <w:kern w:val="2"/>
      <w:sz w:val="21"/>
      <w:szCs w:val="22"/>
    </w:rPr>
  </w:style>
  <w:style w:type="character" w:customStyle="1" w:styleId="35">
    <w:name w:val="标题 2 Char"/>
    <w:basedOn w:val="16"/>
    <w:link w:val="5"/>
    <w:qFormat/>
    <w:uiPriority w:val="0"/>
    <w:rPr>
      <w:rFonts w:ascii="宋体" w:hAnsi="宋体" w:cs="宋体"/>
      <w:b/>
      <w:bCs/>
      <w:sz w:val="36"/>
      <w:szCs w:val="36"/>
    </w:rPr>
  </w:style>
  <w:style w:type="character" w:customStyle="1" w:styleId="36">
    <w:name w:val="标题 4 Char"/>
    <w:basedOn w:val="16"/>
    <w:link w:val="7"/>
    <w:semiHidden/>
    <w:qFormat/>
    <w:uiPriority w:val="9"/>
    <w:rPr>
      <w:rFonts w:asciiTheme="majorHAnsi" w:hAnsiTheme="majorHAnsi" w:eastAsiaTheme="majorEastAsia" w:cstheme="majorBidi"/>
      <w:b/>
      <w:bCs/>
      <w:kern w:val="2"/>
      <w:sz w:val="28"/>
      <w:szCs w:val="28"/>
    </w:rPr>
  </w:style>
  <w:style w:type="character" w:customStyle="1" w:styleId="37">
    <w:name w:val="标题 1 Char"/>
    <w:basedOn w:val="16"/>
    <w:link w:val="4"/>
    <w:qFormat/>
    <w:uiPriority w:val="0"/>
    <w:rPr>
      <w:rFonts w:asciiTheme="minorHAnsi" w:hAnsiTheme="minorHAnsi" w:eastAsiaTheme="minorEastAsia" w:cstheme="minorBidi"/>
      <w:b/>
      <w:bCs/>
      <w:kern w:val="44"/>
      <w:sz w:val="44"/>
      <w:szCs w:val="44"/>
    </w:rPr>
  </w:style>
  <w:style w:type="paragraph" w:customStyle="1" w:styleId="38">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39">
    <w:name w:val="Char"/>
    <w:basedOn w:val="1"/>
    <w:qFormat/>
    <w:uiPriority w:val="0"/>
    <w:pPr>
      <w:spacing w:line="360" w:lineRule="auto"/>
      <w:ind w:firstLine="200" w:firstLineChars="200"/>
    </w:pPr>
    <w:rPr>
      <w:rFonts w:ascii="宋体" w:hAnsi="宋体" w:eastAsia="仿宋_GB2312" w:cs="宋体"/>
      <w:sz w:val="24"/>
      <w:szCs w:val="20"/>
    </w:rPr>
  </w:style>
  <w:style w:type="character" w:customStyle="1" w:styleId="40">
    <w:name w:val="标题 3 Char"/>
    <w:basedOn w:val="16"/>
    <w:link w:val="6"/>
    <w:semiHidden/>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B4167E-28BF-47CC-82B2-32AEF888FAA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2218</Words>
  <Characters>12645</Characters>
  <Lines>105</Lines>
  <Paragraphs>29</Paragraphs>
  <TotalTime>50</TotalTime>
  <ScaleCrop>false</ScaleCrop>
  <LinksUpToDate>false</LinksUpToDate>
  <CharactersWithSpaces>14834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2021-04-19T02:47:00Z</dcterms:created>
  <dc:creator>xbany</dc:creator>
  <cp:lastModifiedBy>Administrator</cp:lastModifiedBy>
  <cp:lastPrinted>2021-04-18T14:45:00Z</cp:lastPrinted>
  <dcterms:modified xsi:type="dcterms:W3CDTF">2021-05-27T07:32:42Z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E5EE40A0CE5143F785D425DACF551A5E</vt:lpwstr>
  </property>
</Properties>
</file>